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425AA" w:rsidTr="00F425AA">
        <w:trPr>
          <w:jc w:val="center"/>
        </w:trPr>
        <w:tc>
          <w:tcPr>
            <w:tcW w:w="743" w:type="dxa"/>
            <w:hideMark/>
          </w:tcPr>
          <w:p w:rsidR="00F425AA" w:rsidRDefault="00F425AA">
            <w:pPr>
              <w:suppressLineNumbers/>
              <w:jc w:val="both"/>
              <w:rPr>
                <w:rFonts w:ascii="Arial" w:hAnsi="Arial"/>
                <w:b/>
                <w:bCs/>
                <w:sz w:val="26"/>
                <w:szCs w:val="26"/>
              </w:rPr>
            </w:pPr>
            <w:bookmarkStart w:id="0" w:name="_GoBack"/>
            <w:bookmarkEnd w:id="0"/>
            <w:r>
              <w:rPr>
                <w:rFonts w:ascii="Arial" w:hAnsi="Arial"/>
                <w:b/>
                <w:bCs/>
                <w:sz w:val="26"/>
                <w:szCs w:val="26"/>
                <w:rtl/>
              </w:rPr>
              <w:t xml:space="preserve">לפני </w:t>
            </w:r>
          </w:p>
        </w:tc>
        <w:tc>
          <w:tcPr>
            <w:tcW w:w="8077" w:type="dxa"/>
            <w:gridSpan w:val="2"/>
          </w:tcPr>
          <w:p w:rsidR="00F425AA" w:rsidRDefault="00F425AA">
            <w:pPr>
              <w:suppressLineNumbers/>
              <w:rPr>
                <w:rFonts w:ascii="Arial" w:hAnsi="Arial"/>
                <w:b/>
                <w:bCs/>
                <w:sz w:val="26"/>
                <w:szCs w:val="26"/>
                <w:rtl/>
              </w:rPr>
            </w:pPr>
            <w:r>
              <w:rPr>
                <w:rFonts w:ascii="Arial" w:hAnsi="Arial"/>
                <w:b/>
                <w:bCs/>
                <w:sz w:val="26"/>
                <w:szCs w:val="26"/>
                <w:rtl/>
              </w:rPr>
              <w:t>כבוד השופט סארי ג'יוסי</w:t>
            </w:r>
          </w:p>
          <w:p w:rsidR="00F425AA" w:rsidRDefault="00F425AA">
            <w:pPr>
              <w:suppressLineNumbers/>
              <w:rPr>
                <w:sz w:val="26"/>
                <w:szCs w:val="26"/>
                <w:rtl/>
              </w:rPr>
            </w:pPr>
          </w:p>
        </w:tc>
      </w:tr>
      <w:tr w:rsidR="00F425AA" w:rsidTr="00F425AA">
        <w:trPr>
          <w:jc w:val="center"/>
        </w:trPr>
        <w:tc>
          <w:tcPr>
            <w:tcW w:w="3249" w:type="dxa"/>
            <w:gridSpan w:val="2"/>
          </w:tcPr>
          <w:p w:rsidR="00F425AA" w:rsidRDefault="00F425AA">
            <w:pPr>
              <w:suppressLineNumbers/>
            </w:pPr>
          </w:p>
          <w:p w:rsidR="00F425AA" w:rsidRDefault="00F425AA">
            <w:pPr>
              <w:suppressLineNumbers/>
              <w:rPr>
                <w:rFonts w:ascii="Arial" w:hAnsi="Arial"/>
                <w:b/>
                <w:bCs/>
                <w:noProof w:val="0"/>
                <w:sz w:val="26"/>
                <w:szCs w:val="26"/>
                <w:u w:val="single"/>
                <w:rtl/>
              </w:rPr>
            </w:pPr>
            <w:r>
              <w:rPr>
                <w:rFonts w:ascii="Arial" w:hAnsi="Arial"/>
                <w:b/>
                <w:bCs/>
                <w:noProof w:val="0"/>
                <w:sz w:val="26"/>
                <w:szCs w:val="26"/>
                <w:u w:val="single"/>
                <w:rtl/>
              </w:rPr>
              <w:t>המבקשת</w:t>
            </w:r>
          </w:p>
        </w:tc>
        <w:tc>
          <w:tcPr>
            <w:tcW w:w="5571" w:type="dxa"/>
          </w:tcPr>
          <w:p w:rsidR="00F425AA" w:rsidRDefault="00F425AA">
            <w:pPr>
              <w:suppressLineNumbers/>
              <w:rPr>
                <w:rtl/>
              </w:rPr>
            </w:pPr>
          </w:p>
          <w:p w:rsidR="00F425AA" w:rsidRDefault="00851F1C">
            <w:pPr>
              <w:suppressLineNumbers/>
              <w:rPr>
                <w:b/>
                <w:bCs/>
                <w:noProof w:val="0"/>
                <w:sz w:val="26"/>
                <w:szCs w:val="26"/>
                <w:rtl/>
              </w:rPr>
            </w:pPr>
            <w:r>
              <w:rPr>
                <w:rFonts w:ascii="Arial" w:hAnsi="Arial" w:hint="cs"/>
                <w:b/>
                <w:bCs/>
                <w:noProof w:val="0"/>
                <w:sz w:val="26"/>
                <w:szCs w:val="26"/>
                <w:rtl/>
              </w:rPr>
              <w:t>א'</w:t>
            </w:r>
          </w:p>
          <w:p w:rsidR="00F425AA" w:rsidRDefault="00F425AA">
            <w:pPr>
              <w:suppressLineNumbers/>
              <w:rPr>
                <w:b/>
                <w:bCs/>
                <w:noProof w:val="0"/>
                <w:sz w:val="26"/>
                <w:szCs w:val="26"/>
                <w:rtl/>
              </w:rPr>
            </w:pPr>
            <w:r>
              <w:rPr>
                <w:b/>
                <w:bCs/>
                <w:noProof w:val="0"/>
                <w:sz w:val="26"/>
                <w:szCs w:val="26"/>
                <w:rtl/>
              </w:rPr>
              <w:t>ע"י ב"כ עו"ד מאיה הר ציון</w:t>
            </w:r>
          </w:p>
        </w:tc>
      </w:tr>
      <w:tr w:rsidR="00F425AA" w:rsidTr="00F425AA">
        <w:trPr>
          <w:jc w:val="center"/>
        </w:trPr>
        <w:tc>
          <w:tcPr>
            <w:tcW w:w="8820" w:type="dxa"/>
            <w:gridSpan w:val="3"/>
          </w:tcPr>
          <w:p w:rsidR="00F425AA" w:rsidRDefault="00F425AA">
            <w:pPr>
              <w:suppressLineNumbers/>
              <w:rPr>
                <w:rFonts w:ascii="Arial" w:hAnsi="Arial"/>
                <w:b/>
                <w:bCs/>
                <w:noProof w:val="0"/>
                <w:sz w:val="26"/>
                <w:szCs w:val="26"/>
              </w:rPr>
            </w:pPr>
          </w:p>
          <w:p w:rsidR="00F425AA" w:rsidRDefault="00F425AA">
            <w:pPr>
              <w:suppressLineNumbers/>
              <w:jc w:val="center"/>
              <w:rPr>
                <w:rFonts w:ascii="Arial" w:hAnsi="Arial"/>
                <w:b/>
                <w:bCs/>
                <w:noProof w:val="0"/>
                <w:sz w:val="26"/>
                <w:szCs w:val="26"/>
                <w:rtl/>
              </w:rPr>
            </w:pPr>
            <w:r>
              <w:rPr>
                <w:rFonts w:ascii="Arial" w:hAnsi="Arial"/>
                <w:b/>
                <w:bCs/>
                <w:noProof w:val="0"/>
                <w:sz w:val="26"/>
                <w:szCs w:val="26"/>
                <w:rtl/>
              </w:rPr>
              <w:t>נגד</w:t>
            </w:r>
          </w:p>
          <w:p w:rsidR="00F425AA" w:rsidRDefault="00F425AA">
            <w:pPr>
              <w:suppressLineNumbers/>
              <w:rPr>
                <w:rFonts w:ascii="Arial" w:hAnsi="Arial"/>
                <w:b/>
                <w:bCs/>
                <w:noProof w:val="0"/>
                <w:sz w:val="26"/>
                <w:szCs w:val="26"/>
                <w:rtl/>
              </w:rPr>
            </w:pPr>
          </w:p>
        </w:tc>
      </w:tr>
      <w:tr w:rsidR="00F425AA" w:rsidTr="00F425AA">
        <w:trPr>
          <w:jc w:val="center"/>
        </w:trPr>
        <w:tc>
          <w:tcPr>
            <w:tcW w:w="3249" w:type="dxa"/>
            <w:gridSpan w:val="2"/>
            <w:hideMark/>
          </w:tcPr>
          <w:p w:rsidR="00F425AA" w:rsidRDefault="00F425AA">
            <w:pPr>
              <w:suppressLineNumbers/>
              <w:rPr>
                <w:rFonts w:ascii="Arial" w:hAnsi="Arial"/>
                <w:b/>
                <w:bCs/>
                <w:noProof w:val="0"/>
                <w:sz w:val="26"/>
                <w:szCs w:val="26"/>
                <w:u w:val="single"/>
              </w:rPr>
            </w:pPr>
            <w:r>
              <w:rPr>
                <w:rFonts w:ascii="Arial" w:hAnsi="Arial"/>
                <w:b/>
                <w:bCs/>
                <w:noProof w:val="0"/>
                <w:sz w:val="26"/>
                <w:szCs w:val="26"/>
                <w:u w:val="single"/>
                <w:rtl/>
              </w:rPr>
              <w:t>המשיב</w:t>
            </w:r>
          </w:p>
        </w:tc>
        <w:tc>
          <w:tcPr>
            <w:tcW w:w="5571" w:type="dxa"/>
            <w:hideMark/>
          </w:tcPr>
          <w:p w:rsidR="00F425AA" w:rsidRDefault="00851F1C">
            <w:pPr>
              <w:suppressLineNumbers/>
              <w:rPr>
                <w:rFonts w:ascii="Arial" w:hAnsi="Arial"/>
                <w:b/>
                <w:bCs/>
                <w:noProof w:val="0"/>
                <w:sz w:val="26"/>
                <w:szCs w:val="26"/>
              </w:rPr>
            </w:pPr>
            <w:r>
              <w:rPr>
                <w:rFonts w:ascii="Arial" w:hAnsi="Arial" w:hint="cs"/>
                <w:b/>
                <w:bCs/>
                <w:noProof w:val="0"/>
                <w:sz w:val="26"/>
                <w:szCs w:val="26"/>
                <w:rtl/>
              </w:rPr>
              <w:t>ז'</w:t>
            </w:r>
          </w:p>
          <w:p w:rsidR="00F425AA" w:rsidRDefault="00F425AA">
            <w:pPr>
              <w:suppressLineNumbers/>
              <w:rPr>
                <w:rFonts w:ascii="Arial" w:hAnsi="Arial"/>
                <w:b/>
                <w:bCs/>
                <w:noProof w:val="0"/>
                <w:sz w:val="26"/>
                <w:szCs w:val="26"/>
                <w:rtl/>
              </w:rPr>
            </w:pPr>
            <w:r>
              <w:rPr>
                <w:rFonts w:ascii="Arial" w:hAnsi="Arial"/>
                <w:b/>
                <w:bCs/>
                <w:noProof w:val="0"/>
                <w:sz w:val="26"/>
                <w:szCs w:val="26"/>
                <w:rtl/>
              </w:rPr>
              <w:t>ע"י ב"כ עו"ד לירן שוובר קידר</w:t>
            </w:r>
          </w:p>
        </w:tc>
      </w:tr>
    </w:tbl>
    <w:p w:rsidR="00F425AA" w:rsidRDefault="00F425AA" w:rsidP="00F425A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581429" w:rsidRDefault="00F425AA" w:rsidP="00F425AA">
      <w:pPr>
        <w:spacing w:line="360" w:lineRule="auto"/>
        <w:jc w:val="both"/>
        <w:rPr>
          <w:rFonts w:ascii="Arial" w:hAnsi="Arial"/>
          <w:noProof w:val="0"/>
          <w:rtl/>
        </w:rPr>
      </w:pPr>
      <w:bookmarkStart w:id="1" w:name="NGCSBookmark"/>
      <w:bookmarkEnd w:id="1"/>
      <w:r>
        <w:rPr>
          <w:rFonts w:ascii="Arial" w:hAnsi="Arial" w:hint="cs"/>
          <w:noProof w:val="0"/>
          <w:rtl/>
        </w:rPr>
        <w:t>1.</w:t>
      </w:r>
      <w:r>
        <w:rPr>
          <w:rFonts w:ascii="Arial" w:hAnsi="Arial"/>
          <w:noProof w:val="0"/>
          <w:rtl/>
        </w:rPr>
        <w:tab/>
      </w:r>
      <w:r>
        <w:rPr>
          <w:rFonts w:ascii="Arial" w:hAnsi="Arial" w:hint="cs"/>
          <w:noProof w:val="0"/>
          <w:rtl/>
        </w:rPr>
        <w:t xml:space="preserve">בקשת רשות ערעור על החלטת בית משפט לענייני משפחה בחיפה (כב' השופטת ג. ספרא-ברנע) מיום 4.6.24, במסגרתה הופחתו בפועל דמי המזונות ששולמו ע"י המשיב בהתאם לפסק דין מיום 5.5.21, </w:t>
      </w:r>
      <w:r w:rsidR="00581429">
        <w:rPr>
          <w:rFonts w:ascii="Arial" w:hAnsi="Arial" w:hint="cs"/>
          <w:noProof w:val="0"/>
          <w:rtl/>
        </w:rPr>
        <w:t>הגם שההחלטה ניתנה במסגרת תביעה שהגישה המבקשת להגדלת המזונות בעטיו של שינוי נסיבות נטען - צמצום זמני השהות של הקטינים עם אביהם המשיב, עד כדי ביטולם</w:t>
      </w:r>
      <w:r w:rsidR="00FD6A9B">
        <w:rPr>
          <w:rFonts w:ascii="Arial" w:hAnsi="Arial" w:hint="cs"/>
          <w:noProof w:val="0"/>
          <w:rtl/>
        </w:rPr>
        <w:t xml:space="preserve"> מזה כשלוש שנים. </w:t>
      </w:r>
    </w:p>
    <w:p w:rsidR="00FD6A9B" w:rsidRDefault="00FD6A9B" w:rsidP="00F425AA">
      <w:pPr>
        <w:spacing w:line="360" w:lineRule="auto"/>
        <w:jc w:val="both"/>
        <w:rPr>
          <w:rFonts w:ascii="Arial" w:hAnsi="Arial"/>
          <w:noProof w:val="0"/>
          <w:rtl/>
        </w:rPr>
      </w:pPr>
      <w:r>
        <w:rPr>
          <w:rFonts w:ascii="Arial" w:hAnsi="Arial" w:hint="cs"/>
          <w:noProof w:val="0"/>
          <w:rtl/>
        </w:rPr>
        <w:t xml:space="preserve"> </w:t>
      </w:r>
    </w:p>
    <w:p w:rsidR="00FD6A9B" w:rsidRDefault="00FD6A9B" w:rsidP="00FD6A9B">
      <w:pPr>
        <w:spacing w:line="360" w:lineRule="auto"/>
        <w:jc w:val="both"/>
        <w:rPr>
          <w:rFonts w:ascii="Arial" w:hAnsi="Arial"/>
          <w:noProof w:val="0"/>
          <w:rtl/>
        </w:rPr>
      </w:pPr>
      <w:r>
        <w:rPr>
          <w:rFonts w:ascii="Arial" w:hAnsi="Arial" w:hint="cs"/>
          <w:noProof w:val="0"/>
          <w:rtl/>
        </w:rPr>
        <w:t>2.</w:t>
      </w:r>
      <w:r>
        <w:rPr>
          <w:rFonts w:ascii="Arial" w:hAnsi="Arial"/>
          <w:noProof w:val="0"/>
          <w:rtl/>
        </w:rPr>
        <w:tab/>
      </w:r>
      <w:r w:rsidRPr="00647D0F">
        <w:rPr>
          <w:rFonts w:ascii="Arial" w:hAnsi="Arial" w:hint="cs"/>
          <w:noProof w:val="0"/>
          <w:rtl/>
        </w:rPr>
        <w:t>וביתר פירוט;</w:t>
      </w:r>
    </w:p>
    <w:p w:rsidR="00ED3B0A" w:rsidRDefault="00FD6A9B" w:rsidP="00CE6A64">
      <w:pPr>
        <w:spacing w:line="360" w:lineRule="auto"/>
        <w:jc w:val="both"/>
        <w:rPr>
          <w:rFonts w:ascii="Arial" w:hAnsi="Arial"/>
          <w:noProof w:val="0"/>
          <w:rtl/>
        </w:rPr>
      </w:pPr>
      <w:r>
        <w:rPr>
          <w:rFonts w:ascii="Arial" w:hAnsi="Arial" w:hint="cs"/>
          <w:noProof w:val="0"/>
          <w:rtl/>
        </w:rPr>
        <w:t>לצדדים שני ילדים, קטינים בגילאים 14 ו-</w:t>
      </w:r>
      <w:r w:rsidR="00ED3B0A">
        <w:rPr>
          <w:rFonts w:ascii="Arial" w:hAnsi="Arial" w:hint="cs"/>
          <w:noProof w:val="0"/>
          <w:rtl/>
        </w:rPr>
        <w:t xml:space="preserve">13. ב-5.5.21 ניתן פסק דין </w:t>
      </w:r>
      <w:r w:rsidR="00F425AA">
        <w:rPr>
          <w:rFonts w:ascii="Arial" w:hAnsi="Arial" w:hint="cs"/>
          <w:noProof w:val="0"/>
          <w:rtl/>
        </w:rPr>
        <w:t xml:space="preserve">בהסכמת הצדדים ולפיו ישלם המשיב סך של 1,000 ₪ למזונותיו של כל אחד משני הקטינים,  ובסך הכל 2,000 ₪ לחודש. </w:t>
      </w:r>
      <w:r w:rsidR="00ED3B0A">
        <w:rPr>
          <w:rFonts w:ascii="Arial" w:hAnsi="Arial" w:hint="cs"/>
          <w:noProof w:val="0"/>
          <w:rtl/>
        </w:rPr>
        <w:t>הסכמות אלה קיבעו את הסכומים שנקבעו בהחלטת המזונות הזמניים שניתנה בשעתו בתביעה הקודמת (7972-01-19), שם הועמדו צורכי הקטינים</w:t>
      </w:r>
      <w:r w:rsidR="00CE6A64">
        <w:rPr>
          <w:rFonts w:ascii="Arial" w:hAnsi="Arial" w:hint="cs"/>
          <w:noProof w:val="0"/>
          <w:rtl/>
        </w:rPr>
        <w:t xml:space="preserve"> על סך 1,600 ₪ לחודש לקטין, ו</w:t>
      </w:r>
      <w:r w:rsidR="00ED3B0A">
        <w:rPr>
          <w:rFonts w:ascii="Arial" w:hAnsi="Arial" w:hint="cs"/>
          <w:noProof w:val="0"/>
          <w:rtl/>
        </w:rPr>
        <w:t>בהתאם לנתונים הנוספים הבאים: הכנסת המבקשת האם הועמדה על 9,440 ₪ ואילו הכנסת המשיב - האב על סך 16,000 ₪, כך שיחס ההכנסות היה 63:37 לטובת המשיב.</w:t>
      </w:r>
      <w:r w:rsidR="00CE6A64">
        <w:rPr>
          <w:rFonts w:ascii="Arial" w:hAnsi="Arial" w:hint="cs"/>
          <w:noProof w:val="0"/>
          <w:rtl/>
        </w:rPr>
        <w:t xml:space="preserve"> </w:t>
      </w:r>
      <w:r w:rsidR="00ED3B0A">
        <w:rPr>
          <w:rFonts w:ascii="Arial" w:hAnsi="Arial" w:hint="cs"/>
          <w:noProof w:val="0"/>
          <w:rtl/>
        </w:rPr>
        <w:t>אשר לזמני השהות - אלה התקיימו ביחס של 70:30 לטובת האם.</w:t>
      </w:r>
    </w:p>
    <w:p w:rsidR="00CE6A64" w:rsidRDefault="00CE6A64" w:rsidP="00ED3B0A">
      <w:pPr>
        <w:spacing w:line="360" w:lineRule="auto"/>
        <w:jc w:val="both"/>
        <w:rPr>
          <w:rFonts w:ascii="Arial" w:hAnsi="Arial"/>
          <w:noProof w:val="0"/>
          <w:rtl/>
        </w:rPr>
      </w:pPr>
    </w:p>
    <w:p w:rsidR="00ED3B0A" w:rsidRDefault="00ED3B0A" w:rsidP="00CE6A64">
      <w:pPr>
        <w:spacing w:line="360" w:lineRule="auto"/>
        <w:jc w:val="both"/>
        <w:rPr>
          <w:rFonts w:ascii="Arial" w:hAnsi="Arial"/>
          <w:noProof w:val="0"/>
          <w:rtl/>
        </w:rPr>
      </w:pPr>
      <w:r>
        <w:rPr>
          <w:rFonts w:ascii="Arial" w:hAnsi="Arial" w:hint="cs"/>
          <w:noProof w:val="0"/>
          <w:rtl/>
        </w:rPr>
        <w:t xml:space="preserve">מאוחר יותר, ובעקבות הסכמות אליהן הגיעו הצדדים, ולאחר שבקשת רשות ערעור של האם </w:t>
      </w:r>
      <w:r w:rsidR="00CE6A64">
        <w:rPr>
          <w:rFonts w:ascii="Arial" w:hAnsi="Arial" w:hint="cs"/>
          <w:noProof w:val="0"/>
          <w:rtl/>
        </w:rPr>
        <w:t>על החלטת המזונות הזמניים התקבלה</w:t>
      </w:r>
      <w:r>
        <w:rPr>
          <w:rFonts w:ascii="Arial" w:hAnsi="Arial" w:hint="cs"/>
          <w:noProof w:val="0"/>
          <w:rtl/>
        </w:rPr>
        <w:t xml:space="preserve"> והדיון הוחזר לבית משפט קמא על מנת שיקח ב</w:t>
      </w:r>
      <w:r w:rsidR="00CE3964">
        <w:rPr>
          <w:rFonts w:ascii="Arial" w:hAnsi="Arial" w:hint="cs"/>
          <w:noProof w:val="0"/>
          <w:rtl/>
        </w:rPr>
        <w:t xml:space="preserve">חשבון את צורכי הקטינים עת הם מתגוררים </w:t>
      </w:r>
      <w:r w:rsidR="00CE6A64">
        <w:rPr>
          <w:rFonts w:ascii="Arial" w:hAnsi="Arial" w:hint="cs"/>
          <w:noProof w:val="0"/>
          <w:rtl/>
        </w:rPr>
        <w:t xml:space="preserve">בשני בתים, הגיעו הצדדים להסכמה </w:t>
      </w:r>
      <w:r w:rsidR="00CE3964">
        <w:rPr>
          <w:rFonts w:ascii="Arial" w:hAnsi="Arial" w:hint="cs"/>
          <w:noProof w:val="0"/>
          <w:rtl/>
        </w:rPr>
        <w:t>להעמדת המזונות על סך של 1,000 ₪ לכל קטין בהם יישא המשיב, זאת לאחר שזמני השהות של הקטינים עם אביהם גדלו. אלה הן למעשה ההסכמות שקבלו ב-5.5.21 תוקף של פסק דין.</w:t>
      </w:r>
    </w:p>
    <w:p w:rsidR="00ED3B0A" w:rsidRDefault="00ED3B0A" w:rsidP="00ED3B0A">
      <w:pPr>
        <w:spacing w:line="360" w:lineRule="auto"/>
        <w:jc w:val="both"/>
        <w:rPr>
          <w:rFonts w:ascii="Arial" w:hAnsi="Arial"/>
          <w:noProof w:val="0"/>
          <w:rtl/>
        </w:rPr>
      </w:pPr>
    </w:p>
    <w:p w:rsidR="00CE3964" w:rsidRDefault="00CE3964" w:rsidP="000A2147">
      <w:pPr>
        <w:spacing w:line="360" w:lineRule="auto"/>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המבקשת, ובעטיו של ניתוק הקשר בין האב לבין ילדיו והפסקת זמני השהות עמו, הגישה ביום 3.</w:t>
      </w:r>
      <w:r w:rsidR="00CE6A64">
        <w:rPr>
          <w:rFonts w:ascii="Arial" w:hAnsi="Arial" w:hint="cs"/>
          <w:noProof w:val="0"/>
          <w:rtl/>
        </w:rPr>
        <w:t>5.23 תביעה להגדלת סכום המזונות</w:t>
      </w:r>
      <w:r>
        <w:rPr>
          <w:rFonts w:ascii="Arial" w:hAnsi="Arial" w:hint="cs"/>
          <w:noProof w:val="0"/>
          <w:rtl/>
        </w:rPr>
        <w:t>, ובמסגרתה פירטה את צורכי הקטינים והוצאותיהם ועתרה לחיוב המשיב במזונות בסך של 5,000 ₪ לחודש כסכום גלובלי שיכל</w:t>
      </w:r>
      <w:r w:rsidR="00CE6A64">
        <w:rPr>
          <w:rFonts w:ascii="Arial" w:hAnsi="Arial" w:hint="cs"/>
          <w:noProof w:val="0"/>
          <w:rtl/>
        </w:rPr>
        <w:t>ו</w:t>
      </w:r>
      <w:r>
        <w:rPr>
          <w:rFonts w:ascii="Arial" w:hAnsi="Arial" w:hint="cs"/>
          <w:noProof w:val="0"/>
          <w:rtl/>
        </w:rPr>
        <w:t>ל בתוכו את כלל ההוצאות הרובצים על כתפי האם עבור שני ה</w:t>
      </w:r>
      <w:r w:rsidR="00CE6A64">
        <w:rPr>
          <w:rFonts w:ascii="Arial" w:hAnsi="Arial" w:hint="cs"/>
          <w:noProof w:val="0"/>
          <w:rtl/>
        </w:rPr>
        <w:t>קטינים עד הגיעם לגיל 18, ולחלופין,</w:t>
      </w:r>
      <w:r>
        <w:rPr>
          <w:rFonts w:ascii="Arial" w:hAnsi="Arial" w:hint="cs"/>
          <w:noProof w:val="0"/>
          <w:rtl/>
        </w:rPr>
        <w:t xml:space="preserve"> לחייבו לשאת בת</w:t>
      </w:r>
      <w:r w:rsidR="00614E41">
        <w:rPr>
          <w:rFonts w:ascii="Arial" w:hAnsi="Arial" w:hint="cs"/>
          <w:noProof w:val="0"/>
          <w:rtl/>
        </w:rPr>
        <w:t xml:space="preserve">שלום סך של 4,000 ₪ עבור מזונות ומדור הקטינים, וכן לחייבו לשאת בכל הוצאות החינוך </w:t>
      </w:r>
      <w:r w:rsidR="00614E41">
        <w:rPr>
          <w:rFonts w:ascii="Arial" w:hAnsi="Arial" w:hint="cs"/>
          <w:noProof w:val="0"/>
          <w:rtl/>
        </w:rPr>
        <w:lastRenderedPageBreak/>
        <w:t>בריאות ופנאי בשיעור של 70% - 30%, כפי שהיה בהחלטה על מזונות זמניים. עוד באותה תביעה, טענה המבקשת כי המשיב משתכר פי שלוש ממנה, עת שאינו פוגש בילדים כלל, משמע אינו שוהה ע</w:t>
      </w:r>
      <w:r w:rsidR="00CE6A64">
        <w:rPr>
          <w:rFonts w:ascii="Arial" w:hAnsi="Arial" w:hint="cs"/>
          <w:noProof w:val="0"/>
          <w:rtl/>
        </w:rPr>
        <w:t>מם אף לא דקה אחת בשבוע או בחודש,</w:t>
      </w:r>
      <w:r w:rsidR="00614E41">
        <w:rPr>
          <w:rFonts w:ascii="Arial" w:hAnsi="Arial" w:hint="cs"/>
          <w:noProof w:val="0"/>
          <w:rtl/>
        </w:rPr>
        <w:t xml:space="preserve"> כאשר היא מתמודדת </w:t>
      </w:r>
      <w:r w:rsidR="00CE6A64">
        <w:rPr>
          <w:rFonts w:ascii="Arial" w:hAnsi="Arial" w:hint="cs"/>
          <w:noProof w:val="0"/>
          <w:rtl/>
        </w:rPr>
        <w:t xml:space="preserve">לבדה </w:t>
      </w:r>
      <w:r w:rsidR="00614E41">
        <w:rPr>
          <w:rFonts w:ascii="Arial" w:hAnsi="Arial" w:hint="cs"/>
          <w:noProof w:val="0"/>
          <w:rtl/>
        </w:rPr>
        <w:t>עם גי</w:t>
      </w:r>
      <w:r w:rsidR="000A2147">
        <w:rPr>
          <w:rFonts w:ascii="Arial" w:hAnsi="Arial" w:hint="cs"/>
          <w:noProof w:val="0"/>
          <w:rtl/>
        </w:rPr>
        <w:t>דול הקטינים על כל הכרוך בכך</w:t>
      </w:r>
      <w:r w:rsidR="00614E41">
        <w:rPr>
          <w:rFonts w:ascii="Arial" w:hAnsi="Arial" w:hint="cs"/>
          <w:noProof w:val="0"/>
          <w:rtl/>
        </w:rPr>
        <w:t>, כאשר אין מדובר באם עשירה.</w:t>
      </w:r>
    </w:p>
    <w:p w:rsidR="00F33882" w:rsidRDefault="00F33882" w:rsidP="00CE3964">
      <w:pPr>
        <w:spacing w:line="360" w:lineRule="auto"/>
        <w:jc w:val="both"/>
        <w:rPr>
          <w:rFonts w:ascii="Arial" w:hAnsi="Arial"/>
          <w:noProof w:val="0"/>
          <w:rtl/>
        </w:rPr>
      </w:pPr>
    </w:p>
    <w:p w:rsidR="00614E41" w:rsidRDefault="00614E41" w:rsidP="00851F1C">
      <w:pPr>
        <w:spacing w:line="360" w:lineRule="auto"/>
        <w:jc w:val="both"/>
        <w:rPr>
          <w:rFonts w:ascii="Arial" w:hAnsi="Arial"/>
          <w:noProof w:val="0"/>
          <w:rtl/>
        </w:rPr>
      </w:pPr>
      <w:r>
        <w:rPr>
          <w:rFonts w:ascii="Arial" w:hAnsi="Arial" w:hint="cs"/>
          <w:noProof w:val="0"/>
          <w:rtl/>
        </w:rPr>
        <w:t>המשיב הגיש כתב הגנה במסגרתו טען כי הכנסתו נכון להיום הינה בסך של 17,000 ₪ בעוד שרב הנסתר על הגלוי בכל הנוגע להכנסתה של האם, אשר הוסמכה כ</w:t>
      </w:r>
      <w:r w:rsidR="00851F1C">
        <w:rPr>
          <w:rFonts w:ascii="Arial" w:hAnsi="Arial" w:hint="cs"/>
          <w:noProof w:val="0"/>
          <w:rtl/>
        </w:rPr>
        <w:t>---------</w:t>
      </w:r>
      <w:r w:rsidR="000A2147">
        <w:rPr>
          <w:rFonts w:ascii="Arial" w:hAnsi="Arial" w:hint="cs"/>
          <w:noProof w:val="0"/>
          <w:rtl/>
        </w:rPr>
        <w:t>, ולה עסק ומשרד משלה</w:t>
      </w:r>
      <w:r>
        <w:rPr>
          <w:rFonts w:ascii="Arial" w:hAnsi="Arial" w:hint="cs"/>
          <w:noProof w:val="0"/>
          <w:rtl/>
        </w:rPr>
        <w:t xml:space="preserve">, וכן עסק </w:t>
      </w:r>
      <w:r w:rsidR="00851F1C">
        <w:rPr>
          <w:rFonts w:ascii="Arial" w:hAnsi="Arial" w:hint="cs"/>
          <w:noProof w:val="0"/>
          <w:rtl/>
        </w:rPr>
        <w:t>----------</w:t>
      </w:r>
      <w:r>
        <w:rPr>
          <w:rFonts w:ascii="Arial" w:hAnsi="Arial" w:hint="cs"/>
          <w:noProof w:val="0"/>
          <w:rtl/>
        </w:rPr>
        <w:t xml:space="preserve"> הפעיל מזה 25 שנים בעל מוניטין רחב.</w:t>
      </w:r>
    </w:p>
    <w:p w:rsidR="00F33882" w:rsidRDefault="00F33882" w:rsidP="00CE3964">
      <w:pPr>
        <w:spacing w:line="360" w:lineRule="auto"/>
        <w:jc w:val="both"/>
        <w:rPr>
          <w:rFonts w:ascii="Arial" w:hAnsi="Arial"/>
          <w:noProof w:val="0"/>
          <w:rtl/>
        </w:rPr>
      </w:pPr>
    </w:p>
    <w:p w:rsidR="00614E41" w:rsidRDefault="00614E41" w:rsidP="00CE3964">
      <w:pPr>
        <w:spacing w:line="360" w:lineRule="auto"/>
        <w:jc w:val="both"/>
        <w:rPr>
          <w:rFonts w:ascii="Arial" w:hAnsi="Arial"/>
          <w:noProof w:val="0"/>
          <w:rtl/>
        </w:rPr>
      </w:pPr>
      <w:r>
        <w:rPr>
          <w:rFonts w:ascii="Arial" w:hAnsi="Arial" w:hint="cs"/>
          <w:noProof w:val="0"/>
          <w:rtl/>
        </w:rPr>
        <w:t>אשר לטענה בדבר הפסקת המפגשים עם ילדיו, טען לניכור הורי לו גרמה המבקשת וכי הקשר בינו לבין ילדיו החל להתדרדר נוכח מעשיה המכוערים של המבקשת ובני משפח</w:t>
      </w:r>
      <w:r w:rsidR="000A2147">
        <w:rPr>
          <w:rFonts w:ascii="Arial" w:hAnsi="Arial" w:hint="cs"/>
          <w:noProof w:val="0"/>
          <w:rtl/>
        </w:rPr>
        <w:t>ת</w:t>
      </w:r>
      <w:r>
        <w:rPr>
          <w:rFonts w:ascii="Arial" w:hAnsi="Arial" w:hint="cs"/>
          <w:noProof w:val="0"/>
          <w:rtl/>
        </w:rPr>
        <w:t>ה שגדרו את הקטינים וה</w:t>
      </w:r>
      <w:r w:rsidR="00CF6729">
        <w:rPr>
          <w:rFonts w:ascii="Arial" w:hAnsi="Arial" w:hint="cs"/>
          <w:noProof w:val="0"/>
          <w:rtl/>
        </w:rPr>
        <w:t>רחיקו אותם לגמרי ממנו ומבני משפחתו.</w:t>
      </w:r>
    </w:p>
    <w:p w:rsidR="00694556" w:rsidRDefault="00694556">
      <w:pPr>
        <w:spacing w:line="360" w:lineRule="auto"/>
        <w:jc w:val="both"/>
        <w:rPr>
          <w:rFonts w:ascii="Arial" w:hAnsi="Arial"/>
          <w:noProof w:val="0"/>
          <w:rtl/>
        </w:rPr>
      </w:pPr>
    </w:p>
    <w:p w:rsidR="00D34B1C" w:rsidRDefault="00CF6729">
      <w:pPr>
        <w:spacing w:line="360" w:lineRule="auto"/>
        <w:jc w:val="both"/>
        <w:rPr>
          <w:rFonts w:ascii="Arial" w:hAnsi="Arial"/>
          <w:noProof w:val="0"/>
          <w:rtl/>
        </w:rPr>
      </w:pPr>
      <w:r>
        <w:rPr>
          <w:rFonts w:ascii="Arial" w:hAnsi="Arial" w:hint="cs"/>
          <w:noProof w:val="0"/>
          <w:rtl/>
        </w:rPr>
        <w:t>4.</w:t>
      </w:r>
      <w:r>
        <w:rPr>
          <w:rFonts w:ascii="Arial" w:hAnsi="Arial"/>
          <w:noProof w:val="0"/>
          <w:rtl/>
        </w:rPr>
        <w:tab/>
      </w:r>
      <w:r>
        <w:rPr>
          <w:rFonts w:ascii="Arial" w:hAnsi="Arial" w:hint="cs"/>
          <w:noProof w:val="0"/>
          <w:rtl/>
        </w:rPr>
        <w:t>המבקשת עתרה לפני בית משפט קמא להגדלת המזונות באופן זמני בבחינת פסיקת מזונות זמניים מוגדלים, עד להכרעה בתובענה. המשיב התנגד לבקשה ובית המשפט קמ</w:t>
      </w:r>
      <w:r w:rsidR="000A2147">
        <w:rPr>
          <w:rFonts w:ascii="Arial" w:hAnsi="Arial" w:hint="cs"/>
          <w:noProof w:val="0"/>
          <w:rtl/>
        </w:rPr>
        <w:t xml:space="preserve">א הורה למשיב להגיש תגובתו לבקשה. </w:t>
      </w:r>
      <w:r>
        <w:rPr>
          <w:rFonts w:ascii="Arial" w:hAnsi="Arial" w:hint="cs"/>
          <w:noProof w:val="0"/>
          <w:rtl/>
        </w:rPr>
        <w:t>לאחר</w:t>
      </w:r>
      <w:r w:rsidR="00D34B1C">
        <w:rPr>
          <w:rFonts w:ascii="Arial" w:hAnsi="Arial" w:hint="cs"/>
          <w:noProof w:val="0"/>
          <w:rtl/>
        </w:rPr>
        <w:t xml:space="preserve"> שהוגשה </w:t>
      </w:r>
      <w:r w:rsidR="000A2147">
        <w:rPr>
          <w:rFonts w:ascii="Arial" w:hAnsi="Arial" w:hint="cs"/>
          <w:noProof w:val="0"/>
          <w:rtl/>
        </w:rPr>
        <w:t xml:space="preserve">תשובתו </w:t>
      </w:r>
      <w:r w:rsidR="00D34B1C">
        <w:rPr>
          <w:rFonts w:ascii="Arial" w:hAnsi="Arial" w:hint="cs"/>
          <w:noProof w:val="0"/>
          <w:rtl/>
        </w:rPr>
        <w:t>ניתנה ההחלטה מושא בקשת רשות הערעור.</w:t>
      </w:r>
    </w:p>
    <w:p w:rsidR="00D34B1C" w:rsidRDefault="00D34B1C">
      <w:pPr>
        <w:spacing w:line="360" w:lineRule="auto"/>
        <w:jc w:val="both"/>
        <w:rPr>
          <w:rFonts w:ascii="Arial" w:hAnsi="Arial"/>
          <w:noProof w:val="0"/>
          <w:rtl/>
        </w:rPr>
      </w:pPr>
    </w:p>
    <w:p w:rsidR="00CF6729" w:rsidRDefault="00CF6729" w:rsidP="00CF6729">
      <w:pPr>
        <w:spacing w:line="360" w:lineRule="auto"/>
        <w:jc w:val="both"/>
        <w:rPr>
          <w:rFonts w:ascii="Arial" w:hAnsi="Arial"/>
          <w:b/>
          <w:bCs/>
          <w:noProof w:val="0"/>
          <w:u w:val="single"/>
          <w:rtl/>
        </w:rPr>
      </w:pPr>
      <w:r w:rsidRPr="00CF6729">
        <w:rPr>
          <w:rFonts w:ascii="Arial" w:hAnsi="Arial" w:hint="cs"/>
          <w:b/>
          <w:bCs/>
          <w:noProof w:val="0"/>
          <w:u w:val="single"/>
          <w:rtl/>
        </w:rPr>
        <w:t>החלטת בית</w:t>
      </w:r>
      <w:r>
        <w:rPr>
          <w:rFonts w:ascii="Arial" w:hAnsi="Arial" w:hint="cs"/>
          <w:b/>
          <w:bCs/>
          <w:noProof w:val="0"/>
          <w:u w:val="single"/>
          <w:rtl/>
        </w:rPr>
        <w:t xml:space="preserve"> </w:t>
      </w:r>
      <w:r w:rsidRPr="00CF6729">
        <w:rPr>
          <w:rFonts w:ascii="Arial" w:hAnsi="Arial" w:hint="cs"/>
          <w:b/>
          <w:bCs/>
          <w:noProof w:val="0"/>
          <w:u w:val="single"/>
          <w:rtl/>
        </w:rPr>
        <w:t>משפט קמא</w:t>
      </w:r>
    </w:p>
    <w:p w:rsidR="00553884" w:rsidRDefault="00553884" w:rsidP="00CF6729">
      <w:pPr>
        <w:spacing w:line="360" w:lineRule="auto"/>
        <w:jc w:val="both"/>
        <w:rPr>
          <w:rFonts w:ascii="Arial" w:hAnsi="Arial"/>
          <w:b/>
          <w:bCs/>
          <w:noProof w:val="0"/>
          <w:u w:val="single"/>
          <w:rtl/>
        </w:rPr>
      </w:pPr>
    </w:p>
    <w:p w:rsidR="00CF6729" w:rsidRDefault="00553884" w:rsidP="00553884">
      <w:pPr>
        <w:spacing w:line="360" w:lineRule="auto"/>
        <w:jc w:val="both"/>
        <w:rPr>
          <w:rFonts w:ascii="Arial" w:hAnsi="Arial"/>
          <w:noProof w:val="0"/>
          <w:rtl/>
        </w:rPr>
      </w:pPr>
      <w:r>
        <w:rPr>
          <w:rFonts w:ascii="Arial" w:hAnsi="Arial" w:hint="cs"/>
          <w:noProof w:val="0"/>
          <w:rtl/>
        </w:rPr>
        <w:t>5.</w:t>
      </w:r>
      <w:r w:rsidR="00CF6729">
        <w:rPr>
          <w:rFonts w:ascii="Arial" w:hAnsi="Arial"/>
          <w:noProof w:val="0"/>
          <w:rtl/>
        </w:rPr>
        <w:tab/>
      </w:r>
      <w:r w:rsidR="00CF6729">
        <w:rPr>
          <w:rFonts w:ascii="Arial" w:hAnsi="Arial" w:hint="cs"/>
          <w:noProof w:val="0"/>
          <w:rtl/>
        </w:rPr>
        <w:t>במסגרת החלטה מפורטת וארוכה, סקר בית משפט קמא את טענות הצדדים</w:t>
      </w:r>
      <w:r w:rsidR="00D34B1C">
        <w:rPr>
          <w:rFonts w:ascii="Arial" w:hAnsi="Arial" w:hint="cs"/>
          <w:noProof w:val="0"/>
          <w:rtl/>
        </w:rPr>
        <w:t>, את תולדות הסכסוך ביניהם, את טענת האם כי המשיב יצא לפנסיה מוקדמת, בעוד שהמשיב ציין כי עזב מקום עבודתו בעקבות הסכם פרישה ובעקבות תאונת דרכים קשה שעבר שגרמה לו לשבר בצלעות, וכי בעקבות פרישתו התקבל סך של כ-900,000 ₪ אשר שימשו בעיקר לסגירת חובות. עוד ציין כי מצבו הכלכלי הורע וכי ב-3.3.24 התחיל עבודה חדשה כאשר הכנסתו מתקבלת על דרך אחוזים בלבד מעסקאות שהוא סוגר. עוד הרבו הצדדים להעלות לפני בית משפט קמא טענות שונות בדבר הוצאות שנגרמות להם בין אם כאלה הקשורות לקטינים ובין אם אחרות.</w:t>
      </w:r>
    </w:p>
    <w:p w:rsidR="00F33882" w:rsidRDefault="00F33882" w:rsidP="00553884">
      <w:pPr>
        <w:spacing w:line="360" w:lineRule="auto"/>
        <w:jc w:val="both"/>
        <w:rPr>
          <w:rFonts w:ascii="Arial" w:hAnsi="Arial"/>
          <w:noProof w:val="0"/>
          <w:rtl/>
        </w:rPr>
      </w:pPr>
    </w:p>
    <w:p w:rsidR="00D34B1C" w:rsidRDefault="00D34B1C" w:rsidP="00D34B1C">
      <w:pPr>
        <w:spacing w:line="360" w:lineRule="auto"/>
        <w:jc w:val="both"/>
        <w:rPr>
          <w:rFonts w:ascii="Arial" w:hAnsi="Arial"/>
          <w:noProof w:val="0"/>
          <w:rtl/>
        </w:rPr>
      </w:pPr>
      <w:r>
        <w:rPr>
          <w:rFonts w:ascii="Arial" w:hAnsi="Arial" w:hint="cs"/>
          <w:noProof w:val="0"/>
          <w:rtl/>
        </w:rPr>
        <w:t>בית משפט קמא סקר את ההלכה בעניין שינוי שיעור מזונות שנקבעו בגדרי פסק דין, וכי נדרש שינוי נסיבות מהותי כזה שלא נצפה ולא ניתן היה לצפות מראש, עת חתמו הצדדים על הסכם</w:t>
      </w:r>
      <w:r w:rsidR="005B5F36">
        <w:rPr>
          <w:rFonts w:ascii="Arial" w:hAnsi="Arial" w:hint="cs"/>
          <w:noProof w:val="0"/>
          <w:rtl/>
        </w:rPr>
        <w:t>.</w:t>
      </w:r>
    </w:p>
    <w:p w:rsidR="005B5F36" w:rsidRDefault="005B5F36" w:rsidP="00D34B1C">
      <w:pPr>
        <w:spacing w:line="360" w:lineRule="auto"/>
        <w:jc w:val="both"/>
        <w:rPr>
          <w:rFonts w:ascii="Arial" w:hAnsi="Arial"/>
          <w:noProof w:val="0"/>
          <w:rtl/>
        </w:rPr>
      </w:pPr>
    </w:p>
    <w:p w:rsidR="00D34B1C" w:rsidRDefault="00647D0F" w:rsidP="005B5F36">
      <w:pPr>
        <w:spacing w:line="360" w:lineRule="auto"/>
        <w:jc w:val="both"/>
        <w:rPr>
          <w:rFonts w:ascii="Arial" w:hAnsi="Arial"/>
          <w:noProof w:val="0"/>
          <w:rtl/>
        </w:rPr>
      </w:pPr>
      <w:r>
        <w:rPr>
          <w:rFonts w:ascii="Arial" w:hAnsi="Arial" w:hint="cs"/>
          <w:noProof w:val="0"/>
          <w:rtl/>
        </w:rPr>
        <w:t>6</w:t>
      </w:r>
      <w:r w:rsidR="00D34B1C">
        <w:rPr>
          <w:rFonts w:ascii="Arial" w:hAnsi="Arial" w:hint="cs"/>
          <w:noProof w:val="0"/>
          <w:rtl/>
        </w:rPr>
        <w:t>.</w:t>
      </w:r>
      <w:r w:rsidR="00D34B1C">
        <w:rPr>
          <w:rFonts w:ascii="Arial" w:hAnsi="Arial"/>
          <w:noProof w:val="0"/>
          <w:rtl/>
        </w:rPr>
        <w:tab/>
      </w:r>
      <w:r w:rsidR="005B5F36">
        <w:rPr>
          <w:rFonts w:ascii="Arial" w:hAnsi="Arial" w:hint="cs"/>
          <w:noProof w:val="0"/>
          <w:rtl/>
        </w:rPr>
        <w:t>נבחנו הכנסות הצדדים, ובית משפט קמא העמיד את הכנסת האם לכל הפחות 13,000 ₪ . אשר להכנסות האב, נקבע כי הוא קיבל פיצויים על סך של 1,000,000 ₪ והחל כיום לעבוד בעבודה חדשה. צוין כי במסגרת ההתדיינות הקודמת הועמד שכרו על כ-16,000 ₪, וכי האב צירף תיעוד לפיו שילם סך של 790,000 ₪ לשם החזר חובותיו, אולם חלק מההחזרים היו לאמו ו"אף לעצמו".</w:t>
      </w:r>
    </w:p>
    <w:p w:rsidR="005B5F36" w:rsidRDefault="005B5F36" w:rsidP="005B5F36">
      <w:pPr>
        <w:spacing w:line="360" w:lineRule="auto"/>
        <w:jc w:val="both"/>
        <w:rPr>
          <w:rFonts w:ascii="Arial" w:hAnsi="Arial"/>
          <w:noProof w:val="0"/>
          <w:rtl/>
        </w:rPr>
      </w:pPr>
      <w:r>
        <w:rPr>
          <w:rFonts w:ascii="Arial" w:hAnsi="Arial" w:hint="cs"/>
          <w:noProof w:val="0"/>
          <w:rtl/>
        </w:rPr>
        <w:t>בית משפט קמא ציין כי בשלב זה לא ניתן לדעת מהי הכנסתו של האב, ועל כן העמידם על סך של "לכל היותר 17,000 ₪" כפי שטענה המבקשת.</w:t>
      </w:r>
    </w:p>
    <w:p w:rsidR="00F33882" w:rsidRDefault="00F33882" w:rsidP="005B5F36">
      <w:pPr>
        <w:spacing w:line="360" w:lineRule="auto"/>
        <w:jc w:val="both"/>
        <w:rPr>
          <w:rFonts w:ascii="Arial" w:hAnsi="Arial"/>
          <w:noProof w:val="0"/>
          <w:rtl/>
        </w:rPr>
      </w:pPr>
    </w:p>
    <w:p w:rsidR="005B5F36" w:rsidRDefault="005B5F36" w:rsidP="005B5F36">
      <w:pPr>
        <w:spacing w:line="360" w:lineRule="auto"/>
        <w:jc w:val="both"/>
        <w:rPr>
          <w:rFonts w:ascii="Arial" w:hAnsi="Arial"/>
          <w:noProof w:val="0"/>
          <w:rtl/>
        </w:rPr>
      </w:pPr>
      <w:r>
        <w:rPr>
          <w:rFonts w:ascii="Arial" w:hAnsi="Arial" w:hint="cs"/>
          <w:noProof w:val="0"/>
          <w:rtl/>
        </w:rPr>
        <w:t>לבסוף קבע בית משפט קמא כי בשלב זה יש להעמיד בצורה זהירה את יחס ההכנסות על 55:45 לטובת</w:t>
      </w:r>
      <w:r w:rsidR="00F744A7">
        <w:rPr>
          <w:rFonts w:ascii="Arial" w:hAnsi="Arial" w:hint="cs"/>
          <w:noProof w:val="0"/>
          <w:rtl/>
        </w:rPr>
        <w:t xml:space="preserve"> האב.</w:t>
      </w:r>
    </w:p>
    <w:p w:rsidR="00F744A7" w:rsidRDefault="00F744A7" w:rsidP="005B5F36">
      <w:pPr>
        <w:spacing w:line="360" w:lineRule="auto"/>
        <w:jc w:val="both"/>
        <w:rPr>
          <w:rFonts w:ascii="Arial" w:hAnsi="Arial"/>
          <w:noProof w:val="0"/>
          <w:rtl/>
        </w:rPr>
      </w:pPr>
    </w:p>
    <w:p w:rsidR="005B5F36" w:rsidRDefault="00647D0F" w:rsidP="00F744A7">
      <w:pPr>
        <w:spacing w:line="360" w:lineRule="auto"/>
        <w:jc w:val="both"/>
        <w:rPr>
          <w:rFonts w:ascii="Arial" w:hAnsi="Arial"/>
          <w:noProof w:val="0"/>
          <w:rtl/>
        </w:rPr>
      </w:pPr>
      <w:r>
        <w:rPr>
          <w:rFonts w:ascii="Arial" w:hAnsi="Arial" w:hint="cs"/>
          <w:noProof w:val="0"/>
          <w:rtl/>
        </w:rPr>
        <w:t>7</w:t>
      </w:r>
      <w:r w:rsidR="005B5F36">
        <w:rPr>
          <w:rFonts w:ascii="Arial" w:hAnsi="Arial" w:hint="cs"/>
          <w:noProof w:val="0"/>
          <w:rtl/>
        </w:rPr>
        <w:t>.</w:t>
      </w:r>
      <w:r w:rsidR="005B5F36">
        <w:rPr>
          <w:rFonts w:ascii="Arial" w:hAnsi="Arial"/>
          <w:noProof w:val="0"/>
          <w:rtl/>
        </w:rPr>
        <w:tab/>
      </w:r>
      <w:r w:rsidR="00F744A7">
        <w:rPr>
          <w:rFonts w:ascii="Arial" w:hAnsi="Arial" w:hint="cs"/>
          <w:noProof w:val="0"/>
          <w:rtl/>
        </w:rPr>
        <w:t>נוכח כל האמור לעיל, ולאחר שבית משפט קמא בחן את צורכי הקטינים, העמידם על סך של 3,600 ₪ לחודש, ועל כן בהתאם לפערי ההכנסות, חלקו של האב עומד על סך כ-2,000 ₪ לשני הקטינים, היינו 1,000 ₪ עבור כל אחד מהם. בית משפט קמא המשיך ודן בהוצאות החינוך והוצאות בריאות חריגות, וקבע כי יש לחייב את שני הצדדים לשאת בצורה שווה בהוצאות אלה, זאת בשונה מהקביעה שבפסק הדין</w:t>
      </w:r>
      <w:r w:rsidR="00F744A7">
        <w:rPr>
          <w:rFonts w:ascii="Arial" w:hAnsi="Arial" w:hint="cs"/>
          <w:noProof w:val="0"/>
        </w:rPr>
        <w:t xml:space="preserve"> </w:t>
      </w:r>
      <w:r w:rsidR="00F744A7">
        <w:rPr>
          <w:rFonts w:ascii="Arial" w:hAnsi="Arial" w:hint="cs"/>
          <w:noProof w:val="0"/>
          <w:rtl/>
        </w:rPr>
        <w:t>ולהסכמות הצדדים מהעבר.</w:t>
      </w:r>
    </w:p>
    <w:p w:rsidR="00F744A7" w:rsidRDefault="00F744A7" w:rsidP="005B5F36">
      <w:pPr>
        <w:spacing w:line="360" w:lineRule="auto"/>
        <w:jc w:val="both"/>
        <w:rPr>
          <w:rFonts w:ascii="Arial" w:hAnsi="Arial"/>
          <w:noProof w:val="0"/>
          <w:rtl/>
        </w:rPr>
      </w:pPr>
    </w:p>
    <w:p w:rsidR="00F744A7" w:rsidRDefault="00647D0F" w:rsidP="005B5F36">
      <w:pPr>
        <w:spacing w:line="360" w:lineRule="auto"/>
        <w:jc w:val="both"/>
        <w:rPr>
          <w:rFonts w:ascii="Arial" w:hAnsi="Arial"/>
          <w:noProof w:val="0"/>
          <w:rtl/>
        </w:rPr>
      </w:pPr>
      <w:r>
        <w:rPr>
          <w:rFonts w:ascii="Arial" w:hAnsi="Arial" w:hint="cs"/>
          <w:noProof w:val="0"/>
          <w:rtl/>
        </w:rPr>
        <w:t>8</w:t>
      </w:r>
      <w:r w:rsidR="00F744A7">
        <w:rPr>
          <w:rFonts w:ascii="Arial" w:hAnsi="Arial" w:hint="cs"/>
          <w:noProof w:val="0"/>
          <w:rtl/>
        </w:rPr>
        <w:t>.</w:t>
      </w:r>
      <w:r w:rsidR="00F744A7">
        <w:rPr>
          <w:rFonts w:ascii="Arial" w:hAnsi="Arial"/>
          <w:noProof w:val="0"/>
          <w:rtl/>
        </w:rPr>
        <w:tab/>
      </w:r>
      <w:r w:rsidR="00F744A7">
        <w:rPr>
          <w:rFonts w:ascii="Arial" w:hAnsi="Arial" w:hint="cs"/>
          <w:noProof w:val="0"/>
          <w:rtl/>
        </w:rPr>
        <w:t>המבקשת מ</w:t>
      </w:r>
      <w:r w:rsidR="00202BC3">
        <w:rPr>
          <w:rFonts w:ascii="Arial" w:hAnsi="Arial" w:hint="cs"/>
          <w:noProof w:val="0"/>
          <w:rtl/>
        </w:rPr>
        <w:t>י</w:t>
      </w:r>
      <w:r w:rsidR="00F744A7">
        <w:rPr>
          <w:rFonts w:ascii="Arial" w:hAnsi="Arial" w:hint="cs"/>
          <w:noProof w:val="0"/>
          <w:rtl/>
        </w:rPr>
        <w:t xml:space="preserve">אנה להשלים עם החלטת בית משפט קמא והגישה את בקשת רשות הערעור המונחת לפני. במסגרתה טענה כי שגה בית משפט קמא בקביעותיו השונות </w:t>
      </w:r>
      <w:r w:rsidR="00D2510C">
        <w:rPr>
          <w:rFonts w:ascii="Arial" w:hAnsi="Arial" w:hint="cs"/>
          <w:noProof w:val="0"/>
          <w:rtl/>
        </w:rPr>
        <w:t>ו</w:t>
      </w:r>
      <w:r w:rsidR="00F744A7">
        <w:rPr>
          <w:rFonts w:ascii="Arial" w:hAnsi="Arial" w:hint="cs"/>
          <w:noProof w:val="0"/>
          <w:rtl/>
        </w:rPr>
        <w:t>כי התעלם משינוי הנסיבות המוכח והמהותי</w:t>
      </w:r>
      <w:r w:rsidR="00D2510C">
        <w:rPr>
          <w:rFonts w:ascii="Arial" w:hAnsi="Arial" w:hint="cs"/>
          <w:noProof w:val="0"/>
          <w:rtl/>
        </w:rPr>
        <w:t>,</w:t>
      </w:r>
      <w:r w:rsidR="00553884">
        <w:rPr>
          <w:rFonts w:ascii="Arial" w:hAnsi="Arial" w:hint="cs"/>
          <w:noProof w:val="0"/>
          <w:rtl/>
        </w:rPr>
        <w:t xml:space="preserve"> עת הפסיק המשיב לפגוש את ילדיו והם לא מתארחים אצלו או נפגשים עמו מזה תקופה ארוכה. </w:t>
      </w:r>
    </w:p>
    <w:p w:rsidR="00553884" w:rsidRDefault="00553884" w:rsidP="005B5F36">
      <w:pPr>
        <w:spacing w:line="360" w:lineRule="auto"/>
        <w:jc w:val="both"/>
        <w:rPr>
          <w:rFonts w:ascii="Arial" w:hAnsi="Arial"/>
          <w:noProof w:val="0"/>
          <w:rtl/>
        </w:rPr>
      </w:pPr>
    </w:p>
    <w:p w:rsidR="00B61F0E" w:rsidRDefault="00647D0F" w:rsidP="00B61F0E">
      <w:pPr>
        <w:spacing w:line="360" w:lineRule="auto"/>
        <w:jc w:val="both"/>
        <w:rPr>
          <w:rFonts w:ascii="Arial" w:hAnsi="Arial"/>
          <w:noProof w:val="0"/>
          <w:rtl/>
        </w:rPr>
      </w:pPr>
      <w:r>
        <w:rPr>
          <w:rFonts w:ascii="Arial" w:hAnsi="Arial" w:hint="cs"/>
          <w:noProof w:val="0"/>
          <w:rtl/>
        </w:rPr>
        <w:t>9</w:t>
      </w:r>
      <w:r w:rsidR="00553884">
        <w:rPr>
          <w:rFonts w:ascii="Arial" w:hAnsi="Arial" w:hint="cs"/>
          <w:noProof w:val="0"/>
          <w:rtl/>
        </w:rPr>
        <w:t>.</w:t>
      </w:r>
      <w:r w:rsidR="00553884">
        <w:rPr>
          <w:rFonts w:ascii="Arial" w:hAnsi="Arial"/>
          <w:noProof w:val="0"/>
          <w:rtl/>
        </w:rPr>
        <w:tab/>
      </w:r>
      <w:r w:rsidR="00F33882">
        <w:rPr>
          <w:rFonts w:ascii="Arial" w:hAnsi="Arial" w:hint="cs"/>
          <w:noProof w:val="0"/>
          <w:rtl/>
        </w:rPr>
        <w:t>ה</w:t>
      </w:r>
      <w:r w:rsidR="00553884">
        <w:rPr>
          <w:rFonts w:ascii="Arial" w:hAnsi="Arial" w:hint="cs"/>
          <w:noProof w:val="0"/>
          <w:rtl/>
        </w:rPr>
        <w:t>תבקשה תשובת המשיב, ובהמשך התקיים דיון לפני במעמד שני הצדדים,</w:t>
      </w:r>
      <w:r w:rsidR="00B61F0E">
        <w:rPr>
          <w:rFonts w:ascii="Arial" w:hAnsi="Arial" w:hint="cs"/>
          <w:noProof w:val="0"/>
          <w:rtl/>
        </w:rPr>
        <w:t xml:space="preserve"> אשר נועד בעיקרו של דבר כדי לנסות ולהוביל את הצדדים להסכמה ולהעלות לפניהם הצעה. משלא צלחה הדרך, אפשרתי למשיב להשלים טיעוניו בתמציתיות רבה.</w:t>
      </w:r>
      <w:r w:rsidR="00553884">
        <w:rPr>
          <w:rFonts w:ascii="Arial" w:hAnsi="Arial" w:hint="cs"/>
          <w:noProof w:val="0"/>
          <w:rtl/>
        </w:rPr>
        <w:t xml:space="preserve"> </w:t>
      </w:r>
    </w:p>
    <w:p w:rsidR="00B61F0E" w:rsidRDefault="00B61F0E" w:rsidP="00B61F0E">
      <w:pPr>
        <w:spacing w:line="360" w:lineRule="auto"/>
        <w:jc w:val="both"/>
        <w:rPr>
          <w:rFonts w:ascii="Arial" w:hAnsi="Arial"/>
          <w:noProof w:val="0"/>
          <w:rtl/>
        </w:rPr>
      </w:pPr>
    </w:p>
    <w:p w:rsidR="00553884" w:rsidRDefault="00647D0F" w:rsidP="00B61F0E">
      <w:pPr>
        <w:spacing w:line="360" w:lineRule="auto"/>
        <w:jc w:val="both"/>
        <w:rPr>
          <w:rFonts w:ascii="Arial" w:hAnsi="Arial"/>
          <w:noProof w:val="0"/>
          <w:rtl/>
        </w:rPr>
      </w:pPr>
      <w:r>
        <w:rPr>
          <w:rFonts w:ascii="Arial" w:hAnsi="Arial" w:hint="cs"/>
          <w:noProof w:val="0"/>
          <w:rtl/>
        </w:rPr>
        <w:t>10</w:t>
      </w:r>
      <w:r w:rsidR="00B61F0E">
        <w:rPr>
          <w:rFonts w:ascii="Arial" w:hAnsi="Arial" w:hint="cs"/>
          <w:noProof w:val="0"/>
          <w:rtl/>
        </w:rPr>
        <w:t>.</w:t>
      </w:r>
      <w:r w:rsidR="00B61F0E">
        <w:rPr>
          <w:rFonts w:ascii="Arial" w:hAnsi="Arial"/>
          <w:noProof w:val="0"/>
          <w:rtl/>
        </w:rPr>
        <w:tab/>
      </w:r>
      <w:r w:rsidR="00553884">
        <w:rPr>
          <w:rFonts w:ascii="Arial" w:hAnsi="Arial" w:hint="cs"/>
          <w:noProof w:val="0"/>
          <w:rtl/>
        </w:rPr>
        <w:t>לא מצאתי לסקור את כל טענות המבקשת כשם שאין בדעתי לסקור את טענות המשיב הסומך את ידיו על החלטת בית משפט קמא, על נימוקי</w:t>
      </w:r>
      <w:r w:rsidR="00202BC3">
        <w:rPr>
          <w:rFonts w:ascii="Arial" w:hAnsi="Arial" w:hint="cs"/>
          <w:noProof w:val="0"/>
          <w:rtl/>
        </w:rPr>
        <w:t>ה</w:t>
      </w:r>
      <w:r w:rsidR="00553884">
        <w:rPr>
          <w:rFonts w:ascii="Arial" w:hAnsi="Arial" w:hint="cs"/>
          <w:noProof w:val="0"/>
          <w:rtl/>
        </w:rPr>
        <w:t xml:space="preserve"> וקביעותי</w:t>
      </w:r>
      <w:r w:rsidR="00202BC3">
        <w:rPr>
          <w:rFonts w:ascii="Arial" w:hAnsi="Arial" w:hint="cs"/>
          <w:noProof w:val="0"/>
          <w:rtl/>
        </w:rPr>
        <w:t>ה</w:t>
      </w:r>
      <w:r w:rsidR="00553884">
        <w:rPr>
          <w:rFonts w:ascii="Arial" w:hAnsi="Arial" w:hint="cs"/>
          <w:noProof w:val="0"/>
          <w:rtl/>
        </w:rPr>
        <w:t xml:space="preserve"> השונות עת מפנה הוא לאותו פער הכנסות ולשינוי בהכנסות הצדדי</w:t>
      </w:r>
      <w:r w:rsidR="00B61F0E">
        <w:rPr>
          <w:rFonts w:ascii="Arial" w:hAnsi="Arial" w:hint="cs"/>
          <w:noProof w:val="0"/>
          <w:rtl/>
        </w:rPr>
        <w:t>ם.</w:t>
      </w:r>
    </w:p>
    <w:p w:rsidR="00553884" w:rsidRDefault="00553884" w:rsidP="00553884">
      <w:pPr>
        <w:spacing w:line="360" w:lineRule="auto"/>
        <w:jc w:val="both"/>
        <w:rPr>
          <w:rFonts w:ascii="Arial" w:hAnsi="Arial"/>
          <w:noProof w:val="0"/>
          <w:rtl/>
        </w:rPr>
      </w:pPr>
    </w:p>
    <w:p w:rsidR="00553884" w:rsidRDefault="00553884" w:rsidP="00553884">
      <w:pPr>
        <w:spacing w:line="360" w:lineRule="auto"/>
        <w:jc w:val="both"/>
        <w:rPr>
          <w:rFonts w:ascii="Arial" w:hAnsi="Arial"/>
          <w:b/>
          <w:bCs/>
          <w:noProof w:val="0"/>
          <w:u w:val="single"/>
          <w:rtl/>
        </w:rPr>
      </w:pPr>
      <w:r w:rsidRPr="00553884">
        <w:rPr>
          <w:rFonts w:ascii="Arial" w:hAnsi="Arial" w:hint="cs"/>
          <w:b/>
          <w:bCs/>
          <w:noProof w:val="0"/>
          <w:u w:val="single"/>
          <w:rtl/>
        </w:rPr>
        <w:t>דיון והכרעה</w:t>
      </w:r>
    </w:p>
    <w:p w:rsidR="00553884" w:rsidRDefault="00553884" w:rsidP="00553884">
      <w:pPr>
        <w:spacing w:line="360" w:lineRule="auto"/>
        <w:jc w:val="both"/>
        <w:rPr>
          <w:rFonts w:ascii="Arial" w:hAnsi="Arial"/>
          <w:b/>
          <w:bCs/>
          <w:noProof w:val="0"/>
          <w:u w:val="single"/>
          <w:rtl/>
        </w:rPr>
      </w:pPr>
    </w:p>
    <w:p w:rsidR="00553884" w:rsidRDefault="00B61F0E" w:rsidP="00647D0F">
      <w:pPr>
        <w:spacing w:line="360" w:lineRule="auto"/>
        <w:jc w:val="both"/>
        <w:rPr>
          <w:rFonts w:ascii="Arial" w:hAnsi="Arial"/>
          <w:noProof w:val="0"/>
          <w:rtl/>
        </w:rPr>
      </w:pPr>
      <w:r>
        <w:rPr>
          <w:rFonts w:ascii="Arial" w:hAnsi="Arial" w:hint="cs"/>
          <w:noProof w:val="0"/>
          <w:rtl/>
        </w:rPr>
        <w:t>1</w:t>
      </w:r>
      <w:r w:rsidR="00647D0F">
        <w:rPr>
          <w:rFonts w:ascii="Arial" w:hAnsi="Arial" w:hint="cs"/>
          <w:noProof w:val="0"/>
          <w:rtl/>
        </w:rPr>
        <w:t>1</w:t>
      </w:r>
      <w:r w:rsidR="00553884" w:rsidRPr="00553884">
        <w:rPr>
          <w:rFonts w:ascii="Arial" w:hAnsi="Arial" w:hint="cs"/>
          <w:noProof w:val="0"/>
          <w:rtl/>
        </w:rPr>
        <w:t>.</w:t>
      </w:r>
      <w:r w:rsidR="00553884" w:rsidRPr="00553884">
        <w:rPr>
          <w:rFonts w:ascii="Arial" w:hAnsi="Arial"/>
          <w:noProof w:val="0"/>
          <w:rtl/>
        </w:rPr>
        <w:tab/>
      </w:r>
      <w:r w:rsidR="00553884" w:rsidRPr="00553884">
        <w:rPr>
          <w:rFonts w:ascii="Arial" w:hAnsi="Arial" w:hint="cs"/>
          <w:noProof w:val="0"/>
          <w:rtl/>
        </w:rPr>
        <w:t>לאחר ששקלתי א</w:t>
      </w:r>
      <w:r>
        <w:rPr>
          <w:rFonts w:ascii="Arial" w:hAnsi="Arial" w:hint="cs"/>
          <w:noProof w:val="0"/>
          <w:rtl/>
        </w:rPr>
        <w:t>ת טענות הצדדים בכתב ובעל פה, אני מחליט לדון בבקש</w:t>
      </w:r>
      <w:r w:rsidR="000113E9">
        <w:rPr>
          <w:rFonts w:ascii="Arial" w:hAnsi="Arial" w:hint="cs"/>
          <w:noProof w:val="0"/>
          <w:rtl/>
        </w:rPr>
        <w:t>ה כאילו ניתנה רשות והוגש ערעור לפי הרשות שניתנה.</w:t>
      </w:r>
    </w:p>
    <w:p w:rsidR="000113E9" w:rsidRDefault="000113E9" w:rsidP="000113E9">
      <w:pPr>
        <w:spacing w:line="360" w:lineRule="auto"/>
        <w:jc w:val="both"/>
        <w:rPr>
          <w:rFonts w:ascii="Arial" w:hAnsi="Arial"/>
          <w:noProof w:val="0"/>
          <w:rtl/>
        </w:rPr>
      </w:pPr>
    </w:p>
    <w:p w:rsidR="000113E9" w:rsidRDefault="000113E9" w:rsidP="00647D0F">
      <w:pPr>
        <w:spacing w:line="360" w:lineRule="auto"/>
        <w:jc w:val="both"/>
        <w:rPr>
          <w:rFonts w:ascii="Arial" w:hAnsi="Arial"/>
          <w:noProof w:val="0"/>
          <w:rtl/>
        </w:rPr>
      </w:pPr>
      <w:r>
        <w:rPr>
          <w:rFonts w:ascii="Arial" w:hAnsi="Arial" w:hint="cs"/>
          <w:noProof w:val="0"/>
          <w:rtl/>
        </w:rPr>
        <w:t>1</w:t>
      </w:r>
      <w:r w:rsidR="00647D0F">
        <w:rPr>
          <w:rFonts w:ascii="Arial" w:hAnsi="Arial" w:hint="cs"/>
          <w:noProof w:val="0"/>
          <w:rtl/>
        </w:rPr>
        <w:t>2</w:t>
      </w:r>
      <w:r>
        <w:rPr>
          <w:rFonts w:ascii="Arial" w:hAnsi="Arial" w:hint="cs"/>
          <w:noProof w:val="0"/>
          <w:rtl/>
        </w:rPr>
        <w:t>.</w:t>
      </w:r>
      <w:r>
        <w:rPr>
          <w:rFonts w:ascii="Arial" w:hAnsi="Arial"/>
          <w:noProof w:val="0"/>
          <w:rtl/>
        </w:rPr>
        <w:tab/>
      </w:r>
      <w:r>
        <w:rPr>
          <w:rFonts w:ascii="Arial" w:hAnsi="Arial" w:hint="cs"/>
          <w:noProof w:val="0"/>
          <w:rtl/>
        </w:rPr>
        <w:t>אכן, הלכה מושרשת היא כי ערכאת הערעור תמנע מהתערבות בקביעתם של בתי המשפט לענייני משפחה בדבר שיעור מזונות זמניים או שינוי שיעורם על דרך הגדלתו או הפחתתו, והתערבות זו תתאפשר במקרים חריגים ויוצאי דופן. כך מתחייב משום היקף שיקול הדעת הרחב המסור לערכאה הדיונית, ועל כן מידת ההתערבות של ערכאת הערעור תהא מצומצמת ביותר.</w:t>
      </w:r>
    </w:p>
    <w:p w:rsidR="002E55A4" w:rsidRDefault="000113E9" w:rsidP="000113E9">
      <w:pPr>
        <w:spacing w:line="360" w:lineRule="auto"/>
        <w:jc w:val="both"/>
        <w:rPr>
          <w:rFonts w:ascii="Arial" w:hAnsi="Arial"/>
          <w:noProof w:val="0"/>
          <w:rtl/>
        </w:rPr>
      </w:pPr>
      <w:r>
        <w:rPr>
          <w:rFonts w:ascii="Arial" w:hAnsi="Arial" w:hint="cs"/>
          <w:noProof w:val="0"/>
          <w:rtl/>
        </w:rPr>
        <w:t>אלא שבמקרה שלפני, סבורני כי קשה להשלים עם ההחלטה קמא, עת זו מיקדה את הזרקור על אותו שינוי לכאורה, מזערי, בהכנסות הצדדים</w:t>
      </w:r>
      <w:r w:rsidR="002E55A4">
        <w:rPr>
          <w:rFonts w:ascii="Arial" w:hAnsi="Arial" w:hint="cs"/>
          <w:noProof w:val="0"/>
          <w:rtl/>
        </w:rPr>
        <w:t>, וייחסה לו את אותה משמעות בדבר הפחתה בפועל בסכום המזונות שעל המשיב לשלם, בעוד שהשינוי המוכח - העדר זמני שהות, שמשקלו ותוצאותיו ברורות ומשליכות במישרין ע</w:t>
      </w:r>
      <w:r w:rsidR="00202BC3">
        <w:rPr>
          <w:rFonts w:ascii="Arial" w:hAnsi="Arial" w:hint="cs"/>
          <w:noProof w:val="0"/>
          <w:rtl/>
        </w:rPr>
        <w:t xml:space="preserve">ל גובה המזונות שעל המשיב לשלם, לא היתרגם בהגדלת המזונות. </w:t>
      </w:r>
      <w:r w:rsidR="002E55A4">
        <w:rPr>
          <w:rFonts w:ascii="Arial" w:hAnsi="Arial" w:hint="cs"/>
          <w:noProof w:val="0"/>
          <w:rtl/>
        </w:rPr>
        <w:t>נראה כ</w:t>
      </w:r>
      <w:r w:rsidR="00202BC3">
        <w:rPr>
          <w:rFonts w:ascii="Arial" w:hAnsi="Arial" w:hint="cs"/>
          <w:noProof w:val="0"/>
          <w:rtl/>
        </w:rPr>
        <w:t>י בית משפט קמא בחר לייחס לשינוי יחס ההכנסות</w:t>
      </w:r>
      <w:r w:rsidR="002E55A4">
        <w:rPr>
          <w:rFonts w:ascii="Arial" w:hAnsi="Arial" w:hint="cs"/>
          <w:noProof w:val="0"/>
          <w:rtl/>
        </w:rPr>
        <w:t xml:space="preserve"> לכאורה</w:t>
      </w:r>
      <w:r w:rsidR="00202BC3">
        <w:rPr>
          <w:rFonts w:ascii="Arial" w:hAnsi="Arial" w:hint="cs"/>
          <w:noProof w:val="0"/>
          <w:rtl/>
        </w:rPr>
        <w:t>,</w:t>
      </w:r>
      <w:r w:rsidR="002E55A4">
        <w:rPr>
          <w:rFonts w:ascii="Arial" w:hAnsi="Arial" w:hint="cs"/>
          <w:noProof w:val="0"/>
          <w:rtl/>
        </w:rPr>
        <w:t xml:space="preserve"> משקל מכריע בעוד שהתעלם מהשינוי המוכח המהווה על פי ההלכה הפסוקה שינוי נסיבות מהותי המצדיק שינוי שיעור המזונות אף במסגרת החלטה זמנית.</w:t>
      </w:r>
    </w:p>
    <w:p w:rsidR="002E55A4" w:rsidRDefault="002E55A4" w:rsidP="000113E9">
      <w:pPr>
        <w:spacing w:line="360" w:lineRule="auto"/>
        <w:jc w:val="both"/>
        <w:rPr>
          <w:rFonts w:ascii="Arial" w:hAnsi="Arial"/>
          <w:noProof w:val="0"/>
          <w:rtl/>
        </w:rPr>
      </w:pPr>
    </w:p>
    <w:p w:rsidR="00D43A3C" w:rsidRDefault="002E55A4" w:rsidP="00D43A3C">
      <w:pPr>
        <w:spacing w:line="360" w:lineRule="auto"/>
        <w:jc w:val="both"/>
        <w:rPr>
          <w:rFonts w:ascii="Arial" w:hAnsi="Arial"/>
          <w:noProof w:val="0"/>
          <w:rtl/>
        </w:rPr>
      </w:pPr>
      <w:r>
        <w:rPr>
          <w:rFonts w:ascii="Arial" w:hAnsi="Arial" w:hint="cs"/>
          <w:noProof w:val="0"/>
          <w:rtl/>
        </w:rPr>
        <w:t>כזכור, המשיב אינו חולק על הפסקת</w:t>
      </w:r>
      <w:r w:rsidR="00BC1549">
        <w:rPr>
          <w:rFonts w:ascii="Arial" w:hAnsi="Arial" w:hint="cs"/>
          <w:noProof w:val="0"/>
          <w:rtl/>
        </w:rPr>
        <w:t xml:space="preserve"> זמני השהות של הקטינים אצלו, אך </w:t>
      </w:r>
      <w:r>
        <w:rPr>
          <w:rFonts w:ascii="Arial" w:hAnsi="Arial" w:hint="cs"/>
          <w:noProof w:val="0"/>
          <w:rtl/>
        </w:rPr>
        <w:t>הוא טוען כי הדבר נגרם בעקבות התנהגותה והתנהלותה של המבקשת. אלא שבית משפט קמא טרם קבע האם המניעה לקיום המפגשים והתרחקות הילדים מאביהם,  ה</w:t>
      </w:r>
      <w:r w:rsidR="00BC1549">
        <w:rPr>
          <w:rFonts w:ascii="Arial" w:hAnsi="Arial" w:hint="cs"/>
          <w:noProof w:val="0"/>
          <w:rtl/>
        </w:rPr>
        <w:t>יו</w:t>
      </w:r>
      <w:r>
        <w:rPr>
          <w:rFonts w:ascii="Arial" w:hAnsi="Arial" w:hint="cs"/>
          <w:noProof w:val="0"/>
          <w:rtl/>
        </w:rPr>
        <w:t xml:space="preserve"> בעטיה של המבקשת, ובשלב זה יש להשקיף על  </w:t>
      </w:r>
      <w:r w:rsidR="006E41EF">
        <w:rPr>
          <w:rFonts w:ascii="Arial" w:hAnsi="Arial" w:hint="cs"/>
          <w:noProof w:val="0"/>
          <w:rtl/>
        </w:rPr>
        <w:t xml:space="preserve">אותו שינוי משמעותי </w:t>
      </w:r>
      <w:r w:rsidR="00BC1549">
        <w:rPr>
          <w:rFonts w:ascii="Arial" w:hAnsi="Arial" w:hint="cs"/>
          <w:noProof w:val="0"/>
          <w:rtl/>
        </w:rPr>
        <w:t>בזמני השהות כמחייב שינוי שיעור המזונות, יהא הגורם לשינוי זה אשר יהא</w:t>
      </w:r>
      <w:r w:rsidR="006E41EF">
        <w:rPr>
          <w:rFonts w:ascii="Arial" w:hAnsi="Arial" w:hint="cs"/>
          <w:noProof w:val="0"/>
          <w:rtl/>
        </w:rPr>
        <w:t>. כך מתחייב הדבר עת שאין חולק כי צמצום זמני השהות של הקטינים עם אביהם מזה זמן רב, מהווה שינוי נסיבות מהותי</w:t>
      </w:r>
      <w:r w:rsidR="002039B9">
        <w:rPr>
          <w:rFonts w:ascii="Arial" w:hAnsi="Arial" w:hint="cs"/>
          <w:noProof w:val="0"/>
          <w:rtl/>
        </w:rPr>
        <w:t>, ואין דומה מצב בו הקטינים מקיימים זמני שהות של  70:30 לטובת האם, הגם שבמ</w:t>
      </w:r>
      <w:r w:rsidR="00BC1549">
        <w:rPr>
          <w:rFonts w:ascii="Arial" w:hAnsi="Arial" w:hint="cs"/>
          <w:noProof w:val="0"/>
          <w:rtl/>
        </w:rPr>
        <w:t>ועד בו התגבשה ההסכמה בין הצדדים</w:t>
      </w:r>
      <w:r w:rsidR="002039B9">
        <w:rPr>
          <w:rFonts w:ascii="Arial" w:hAnsi="Arial" w:hint="cs"/>
          <w:noProof w:val="0"/>
          <w:rtl/>
        </w:rPr>
        <w:t xml:space="preserve"> וניתן פסק דין על יסוד אותה הסכמה, הם אף הו</w:t>
      </w:r>
      <w:r w:rsidR="00BC1549">
        <w:rPr>
          <w:rFonts w:ascii="Arial" w:hAnsi="Arial" w:hint="cs"/>
          <w:noProof w:val="0"/>
          <w:rtl/>
        </w:rPr>
        <w:t>דיעו כי זמני השהות אצל האב גדלו, לבין מצב בו שוהים באופן בלעדי אצל המבקשת</w:t>
      </w:r>
      <w:r w:rsidR="00D43A3C">
        <w:rPr>
          <w:rFonts w:ascii="Arial" w:hAnsi="Arial" w:hint="cs"/>
          <w:noProof w:val="0"/>
          <w:rtl/>
        </w:rPr>
        <w:t>, על כל הכרוך בכך מבחינת הנטל המוטל עליה גם בפן הכלכלי.</w:t>
      </w:r>
    </w:p>
    <w:p w:rsidR="002039B9" w:rsidRDefault="00D43A3C" w:rsidP="00D43A3C">
      <w:pPr>
        <w:spacing w:line="360" w:lineRule="auto"/>
        <w:jc w:val="both"/>
        <w:rPr>
          <w:rFonts w:ascii="Arial" w:hAnsi="Arial"/>
          <w:noProof w:val="0"/>
          <w:rtl/>
        </w:rPr>
      </w:pPr>
      <w:r>
        <w:rPr>
          <w:rFonts w:ascii="Arial" w:hAnsi="Arial"/>
          <w:noProof w:val="0"/>
          <w:rtl/>
        </w:rPr>
        <w:t xml:space="preserve"> </w:t>
      </w:r>
    </w:p>
    <w:p w:rsidR="002039B9" w:rsidRDefault="00647D0F" w:rsidP="002039B9">
      <w:pPr>
        <w:spacing w:line="360" w:lineRule="auto"/>
        <w:jc w:val="both"/>
        <w:rPr>
          <w:rFonts w:ascii="Arial" w:hAnsi="Arial"/>
          <w:noProof w:val="0"/>
          <w:rtl/>
        </w:rPr>
      </w:pPr>
      <w:r>
        <w:rPr>
          <w:rFonts w:ascii="Arial" w:hAnsi="Arial" w:hint="cs"/>
          <w:noProof w:val="0"/>
          <w:rtl/>
        </w:rPr>
        <w:t>13</w:t>
      </w:r>
      <w:r w:rsidR="002039B9">
        <w:rPr>
          <w:rFonts w:ascii="Arial" w:hAnsi="Arial" w:hint="cs"/>
          <w:noProof w:val="0"/>
          <w:rtl/>
        </w:rPr>
        <w:t>.</w:t>
      </w:r>
      <w:r w:rsidR="002039B9">
        <w:rPr>
          <w:rFonts w:ascii="Arial" w:hAnsi="Arial"/>
          <w:noProof w:val="0"/>
          <w:rtl/>
        </w:rPr>
        <w:tab/>
      </w:r>
      <w:r w:rsidR="002039B9">
        <w:rPr>
          <w:rFonts w:ascii="Arial" w:hAnsi="Arial" w:hint="cs"/>
          <w:noProof w:val="0"/>
          <w:rtl/>
        </w:rPr>
        <w:t>בנסיבות דנן, עת מדובר בשינוי נסיבות מהותי מוכח לעומת ספק שינוי נסיבות ובוודאי לא מהותי ביחס ההכנסות של הצדדים, על בית משפט קמא היה להורות על הגדלת שיעור המזונות שעל המשיב לשלם, ובאופן זמני עד לבירור והכרעה בתובענה</w:t>
      </w:r>
      <w:r w:rsidR="00456A2B">
        <w:rPr>
          <w:rFonts w:ascii="Arial" w:hAnsi="Arial" w:hint="cs"/>
          <w:noProof w:val="0"/>
          <w:rtl/>
        </w:rPr>
        <w:t>.</w:t>
      </w:r>
      <w:r w:rsidR="00D641A3">
        <w:rPr>
          <w:rFonts w:ascii="Arial" w:hAnsi="Arial" w:hint="cs"/>
          <w:noProof w:val="0"/>
          <w:rtl/>
        </w:rPr>
        <w:t xml:space="preserve"> </w:t>
      </w:r>
    </w:p>
    <w:p w:rsidR="00647D0F" w:rsidRDefault="00647D0F" w:rsidP="002039B9">
      <w:pPr>
        <w:spacing w:line="360" w:lineRule="auto"/>
        <w:jc w:val="both"/>
        <w:rPr>
          <w:rFonts w:ascii="Arial" w:hAnsi="Arial"/>
          <w:noProof w:val="0"/>
          <w:rtl/>
        </w:rPr>
      </w:pPr>
    </w:p>
    <w:p w:rsidR="00456A2B" w:rsidRDefault="00456A2B" w:rsidP="00EB2036">
      <w:pPr>
        <w:spacing w:line="360" w:lineRule="auto"/>
        <w:jc w:val="both"/>
        <w:rPr>
          <w:rFonts w:ascii="Arial" w:hAnsi="Arial"/>
          <w:noProof w:val="0"/>
          <w:rtl/>
        </w:rPr>
      </w:pPr>
      <w:r>
        <w:rPr>
          <w:rFonts w:ascii="Arial" w:hAnsi="Arial" w:hint="cs"/>
          <w:noProof w:val="0"/>
          <w:rtl/>
        </w:rPr>
        <w:t>ודוק, על פי בית משפט קמא יחס ההכנסות כיום עומד על 55:45 בעוד שבעבר עמד על 37: 63</w:t>
      </w:r>
      <w:r w:rsidR="00D641A3">
        <w:rPr>
          <w:rFonts w:ascii="Arial" w:hAnsi="Arial" w:hint="cs"/>
          <w:noProof w:val="0"/>
          <w:rtl/>
        </w:rPr>
        <w:t>.</w:t>
      </w:r>
      <w:r>
        <w:rPr>
          <w:rFonts w:ascii="Arial" w:hAnsi="Arial" w:hint="cs"/>
          <w:noProof w:val="0"/>
          <w:rtl/>
        </w:rPr>
        <w:t xml:space="preserve"> לעומת זאת, זמני השהות היו ביחס של 70:30 (יתכן שאף יש להעמידם על 60:40), בעוד שכיום 100:0</w:t>
      </w:r>
      <w:r w:rsidR="00D641A3">
        <w:rPr>
          <w:rFonts w:ascii="Arial" w:hAnsi="Arial" w:hint="cs"/>
          <w:noProof w:val="0"/>
          <w:rtl/>
        </w:rPr>
        <w:t xml:space="preserve">. </w:t>
      </w:r>
    </w:p>
    <w:p w:rsidR="00456A2B" w:rsidRDefault="00456A2B" w:rsidP="002039B9">
      <w:pPr>
        <w:spacing w:line="360" w:lineRule="auto"/>
        <w:jc w:val="both"/>
        <w:rPr>
          <w:rFonts w:ascii="Arial" w:hAnsi="Arial"/>
          <w:noProof w:val="0"/>
          <w:rtl/>
        </w:rPr>
      </w:pPr>
    </w:p>
    <w:p w:rsidR="0049770D" w:rsidRDefault="00EB2036" w:rsidP="00D43A3C">
      <w:pPr>
        <w:spacing w:line="360" w:lineRule="auto"/>
        <w:jc w:val="both"/>
        <w:rPr>
          <w:rFonts w:ascii="Arial" w:hAnsi="Arial"/>
          <w:noProof w:val="0"/>
          <w:rtl/>
        </w:rPr>
      </w:pPr>
      <w:r>
        <w:rPr>
          <w:rFonts w:ascii="Arial" w:hAnsi="Arial" w:hint="cs"/>
          <w:noProof w:val="0"/>
          <w:rtl/>
        </w:rPr>
        <w:t>1</w:t>
      </w:r>
      <w:r w:rsidR="00647D0F">
        <w:rPr>
          <w:rFonts w:ascii="Arial" w:hAnsi="Arial" w:hint="cs"/>
          <w:noProof w:val="0"/>
          <w:rtl/>
        </w:rPr>
        <w:t>4</w:t>
      </w:r>
      <w:r>
        <w:rPr>
          <w:rFonts w:ascii="Arial" w:hAnsi="Arial" w:hint="cs"/>
          <w:noProof w:val="0"/>
          <w:rtl/>
        </w:rPr>
        <w:t>.</w:t>
      </w:r>
      <w:r>
        <w:rPr>
          <w:rFonts w:ascii="Arial" w:hAnsi="Arial"/>
          <w:noProof w:val="0"/>
          <w:rtl/>
        </w:rPr>
        <w:tab/>
      </w:r>
      <w:r w:rsidR="00456A2B">
        <w:rPr>
          <w:rFonts w:ascii="Arial" w:hAnsi="Arial" w:hint="cs"/>
          <w:noProof w:val="0"/>
          <w:rtl/>
        </w:rPr>
        <w:t xml:space="preserve">אשר לשיעור התוספת שיש להשית על המשיב, </w:t>
      </w:r>
      <w:r w:rsidR="00CB06F6">
        <w:rPr>
          <w:rFonts w:ascii="Arial" w:hAnsi="Arial" w:hint="cs"/>
          <w:noProof w:val="0"/>
          <w:rtl/>
        </w:rPr>
        <w:t xml:space="preserve">אין להכביר מילים במשמעות הכלכלית להעדר זמני שהות אצל האב, והמעמסה הכספית הנגרמת בשל כך בה אמורה לשאת האם לבדה, שלא לדבר על שיבוש מהלך חייה, צמצום הזמן הפנוי </w:t>
      </w:r>
      <w:r w:rsidR="00D43A3C">
        <w:rPr>
          <w:rFonts w:ascii="Arial" w:hAnsi="Arial" w:hint="cs"/>
          <w:noProof w:val="0"/>
          <w:rtl/>
        </w:rPr>
        <w:t xml:space="preserve">שהיה לה, עת מדובר בילדים </w:t>
      </w:r>
      <w:r w:rsidR="00CB06F6">
        <w:rPr>
          <w:rFonts w:ascii="Arial" w:hAnsi="Arial" w:hint="cs"/>
          <w:noProof w:val="0"/>
          <w:rtl/>
        </w:rPr>
        <w:t>בגיל ההתבגרות</w:t>
      </w:r>
      <w:r w:rsidR="0049770D">
        <w:rPr>
          <w:rFonts w:ascii="Arial" w:hAnsi="Arial" w:hint="cs"/>
          <w:noProof w:val="0"/>
          <w:rtl/>
        </w:rPr>
        <w:t>.</w:t>
      </w:r>
    </w:p>
    <w:p w:rsidR="00647D0F" w:rsidRDefault="00647D0F" w:rsidP="0049770D">
      <w:pPr>
        <w:spacing w:line="360" w:lineRule="auto"/>
        <w:jc w:val="both"/>
        <w:rPr>
          <w:rFonts w:ascii="Arial" w:hAnsi="Arial"/>
          <w:noProof w:val="0"/>
          <w:rtl/>
        </w:rPr>
      </w:pPr>
    </w:p>
    <w:p w:rsidR="0049770D" w:rsidRDefault="0049770D" w:rsidP="0049770D">
      <w:pPr>
        <w:spacing w:line="360" w:lineRule="auto"/>
        <w:jc w:val="both"/>
        <w:rPr>
          <w:rFonts w:ascii="Arial" w:hAnsi="Arial"/>
          <w:noProof w:val="0"/>
          <w:rtl/>
        </w:rPr>
      </w:pPr>
      <w:r>
        <w:rPr>
          <w:rFonts w:ascii="Arial" w:hAnsi="Arial" w:hint="cs"/>
          <w:noProof w:val="0"/>
          <w:rtl/>
        </w:rPr>
        <w:t xml:space="preserve">ככלל, הערכת גובה המזונות שיש להשית על הורים אינה </w:t>
      </w:r>
      <w:r w:rsidR="00D43A3C">
        <w:rPr>
          <w:rFonts w:ascii="Arial" w:hAnsi="Arial" w:hint="cs"/>
          <w:noProof w:val="0"/>
          <w:rtl/>
        </w:rPr>
        <w:t>מלאכה קלה ו</w:t>
      </w:r>
      <w:r>
        <w:rPr>
          <w:rFonts w:ascii="Arial" w:hAnsi="Arial" w:hint="cs"/>
          <w:noProof w:val="0"/>
          <w:rtl/>
        </w:rPr>
        <w:t>ניתן</w:t>
      </w:r>
      <w:r w:rsidR="00D43A3C">
        <w:rPr>
          <w:rFonts w:ascii="Arial" w:hAnsi="Arial" w:hint="cs"/>
          <w:noProof w:val="0"/>
          <w:rtl/>
        </w:rPr>
        <w:t xml:space="preserve">, במקרים המתאימים, </w:t>
      </w:r>
      <w:r>
        <w:rPr>
          <w:rFonts w:ascii="Arial" w:hAnsi="Arial" w:hint="cs"/>
          <w:noProof w:val="0"/>
          <w:rtl/>
        </w:rPr>
        <w:t xml:space="preserve"> להיעזר </w:t>
      </w:r>
      <w:r w:rsidR="00647D0F">
        <w:rPr>
          <w:rFonts w:ascii="Arial" w:hAnsi="Arial" w:hint="cs"/>
          <w:noProof w:val="0"/>
          <w:rtl/>
        </w:rPr>
        <w:t>בנוסחאות חשבונאיות ובנתונים הרלוו</w:t>
      </w:r>
      <w:r>
        <w:rPr>
          <w:rFonts w:ascii="Arial" w:hAnsi="Arial" w:hint="cs"/>
          <w:noProof w:val="0"/>
          <w:rtl/>
        </w:rPr>
        <w:t>נטי</w:t>
      </w:r>
      <w:r w:rsidR="00647D0F">
        <w:rPr>
          <w:rFonts w:ascii="Arial" w:hAnsi="Arial" w:hint="cs"/>
          <w:noProof w:val="0"/>
          <w:rtl/>
        </w:rPr>
        <w:t>י</w:t>
      </w:r>
      <w:r>
        <w:rPr>
          <w:rFonts w:ascii="Arial" w:hAnsi="Arial" w:hint="cs"/>
          <w:noProof w:val="0"/>
          <w:rtl/>
        </w:rPr>
        <w:t>ם: חלוקת זמני השהות, יחס ההכנסות, צורכי הילדים, ועוד.</w:t>
      </w:r>
    </w:p>
    <w:p w:rsidR="00647D0F" w:rsidRDefault="00647D0F" w:rsidP="00C23177">
      <w:pPr>
        <w:spacing w:line="360" w:lineRule="auto"/>
        <w:jc w:val="both"/>
        <w:rPr>
          <w:rFonts w:ascii="Arial" w:hAnsi="Arial"/>
          <w:noProof w:val="0"/>
          <w:rtl/>
        </w:rPr>
      </w:pPr>
    </w:p>
    <w:p w:rsidR="0049770D" w:rsidRDefault="0049770D" w:rsidP="00C23177">
      <w:pPr>
        <w:spacing w:line="360" w:lineRule="auto"/>
        <w:jc w:val="both"/>
        <w:rPr>
          <w:rFonts w:ascii="Arial" w:hAnsi="Arial"/>
          <w:noProof w:val="0"/>
          <w:rtl/>
        </w:rPr>
      </w:pPr>
      <w:r>
        <w:rPr>
          <w:rFonts w:ascii="Arial" w:hAnsi="Arial" w:hint="cs"/>
          <w:noProof w:val="0"/>
          <w:rtl/>
        </w:rPr>
        <w:t xml:space="preserve">בית משפט קמא מצא להעמיד את צורכי הקטינים </w:t>
      </w:r>
      <w:r w:rsidR="00C23177">
        <w:rPr>
          <w:rFonts w:ascii="Arial" w:hAnsi="Arial" w:hint="cs"/>
          <w:noProof w:val="0"/>
          <w:rtl/>
        </w:rPr>
        <w:t xml:space="preserve">במסגרת ההחלטה </w:t>
      </w:r>
      <w:r>
        <w:rPr>
          <w:rFonts w:ascii="Arial" w:hAnsi="Arial" w:hint="cs"/>
          <w:noProof w:val="0"/>
          <w:rtl/>
        </w:rPr>
        <w:t>על סך של  1,</w:t>
      </w:r>
      <w:r w:rsidR="00C23177">
        <w:rPr>
          <w:rFonts w:ascii="Arial" w:hAnsi="Arial" w:hint="cs"/>
          <w:noProof w:val="0"/>
          <w:rtl/>
        </w:rPr>
        <w:t>8</w:t>
      </w:r>
      <w:r>
        <w:rPr>
          <w:rFonts w:ascii="Arial" w:hAnsi="Arial" w:hint="cs"/>
          <w:noProof w:val="0"/>
          <w:rtl/>
        </w:rPr>
        <w:t>00 ₪ לחודש</w:t>
      </w:r>
      <w:r w:rsidR="00C23177">
        <w:rPr>
          <w:rFonts w:ascii="Arial" w:hAnsi="Arial" w:hint="cs"/>
          <w:noProof w:val="0"/>
          <w:rtl/>
        </w:rPr>
        <w:t xml:space="preserve"> כך שצורכי שניהם </w:t>
      </w:r>
      <w:r w:rsidR="005A158C">
        <w:rPr>
          <w:rFonts w:ascii="Arial" w:hAnsi="Arial" w:hint="cs"/>
          <w:noProof w:val="0"/>
          <w:rtl/>
        </w:rPr>
        <w:t>יחד יעמדו על סך של 3,600 ₪.</w:t>
      </w:r>
      <w:r w:rsidR="00C23177">
        <w:rPr>
          <w:rFonts w:ascii="Arial" w:hAnsi="Arial" w:hint="cs"/>
          <w:noProof w:val="0"/>
          <w:rtl/>
        </w:rPr>
        <w:t xml:space="preserve"> </w:t>
      </w:r>
      <w:r w:rsidR="005A158C">
        <w:rPr>
          <w:rFonts w:ascii="Arial" w:hAnsi="Arial" w:hint="cs"/>
          <w:noProof w:val="0"/>
          <w:rtl/>
        </w:rPr>
        <w:t xml:space="preserve">עוד </w:t>
      </w:r>
      <w:r w:rsidR="00C23177">
        <w:rPr>
          <w:rFonts w:ascii="Arial" w:hAnsi="Arial" w:hint="cs"/>
          <w:noProof w:val="0"/>
          <w:rtl/>
        </w:rPr>
        <w:t>נקבע כי יש לחייב את האב להשתתף בעלות מדור הקטינים אם האם תעבור להתגורר בדירה משלה וכי אז יהיה עליה להוכיח הוצאותיה הנטענות בעניין מגורים. נראה כי בית משפט קמא קימץ את ידו עת לא פסק בגין מרכיב המדור ולו סכום מינימלי בגין הוצאות החזקתו של המדור.</w:t>
      </w:r>
    </w:p>
    <w:p w:rsidR="00C23177" w:rsidRDefault="00C23177" w:rsidP="00C23177">
      <w:pPr>
        <w:spacing w:line="360" w:lineRule="auto"/>
        <w:jc w:val="both"/>
        <w:rPr>
          <w:rFonts w:ascii="Arial" w:hAnsi="Arial"/>
          <w:noProof w:val="0"/>
          <w:rtl/>
        </w:rPr>
      </w:pPr>
    </w:p>
    <w:p w:rsidR="00456A2B" w:rsidRDefault="00647D0F" w:rsidP="00647D0F">
      <w:pPr>
        <w:spacing w:line="360" w:lineRule="auto"/>
        <w:jc w:val="both"/>
        <w:rPr>
          <w:rFonts w:ascii="Arial" w:hAnsi="Arial"/>
          <w:noProof w:val="0"/>
          <w:rtl/>
        </w:rPr>
      </w:pPr>
      <w:r>
        <w:rPr>
          <w:rFonts w:ascii="Arial" w:hAnsi="Arial" w:hint="cs"/>
          <w:noProof w:val="0"/>
          <w:rtl/>
        </w:rPr>
        <w:t>15</w:t>
      </w:r>
      <w:r w:rsidR="00C23177">
        <w:rPr>
          <w:rFonts w:ascii="Arial" w:hAnsi="Arial" w:hint="cs"/>
          <w:noProof w:val="0"/>
          <w:rtl/>
        </w:rPr>
        <w:t>.</w:t>
      </w:r>
      <w:r w:rsidR="00C23177">
        <w:rPr>
          <w:rFonts w:ascii="Arial" w:hAnsi="Arial"/>
          <w:noProof w:val="0"/>
          <w:rtl/>
        </w:rPr>
        <w:tab/>
      </w:r>
      <w:r w:rsidR="00C23177">
        <w:rPr>
          <w:rFonts w:ascii="Arial" w:hAnsi="Arial" w:hint="cs"/>
          <w:noProof w:val="0"/>
          <w:rtl/>
        </w:rPr>
        <w:t xml:space="preserve">לאחר שקלול כל הנתונים שלעיל, </w:t>
      </w:r>
      <w:r>
        <w:rPr>
          <w:rFonts w:ascii="Arial" w:hAnsi="Arial" w:hint="cs"/>
          <w:noProof w:val="0"/>
          <w:rtl/>
        </w:rPr>
        <w:t>ו</w:t>
      </w:r>
      <w:r w:rsidR="00C23177">
        <w:rPr>
          <w:rFonts w:ascii="Arial" w:hAnsi="Arial" w:hint="cs"/>
          <w:noProof w:val="0"/>
          <w:rtl/>
        </w:rPr>
        <w:t>בש</w:t>
      </w:r>
      <w:r>
        <w:rPr>
          <w:rFonts w:ascii="Arial" w:hAnsi="Arial" w:hint="cs"/>
          <w:noProof w:val="0"/>
          <w:rtl/>
        </w:rPr>
        <w:t>ים לב לסכומים שקבעו הצדדים בעבר</w:t>
      </w:r>
      <w:r w:rsidR="00C23177">
        <w:rPr>
          <w:rFonts w:ascii="Arial" w:hAnsi="Arial" w:hint="cs"/>
          <w:noProof w:val="0"/>
          <w:rtl/>
        </w:rPr>
        <w:t xml:space="preserve"> </w:t>
      </w:r>
      <w:r>
        <w:rPr>
          <w:rFonts w:ascii="Arial" w:hAnsi="Arial" w:hint="cs"/>
          <w:noProof w:val="0"/>
          <w:rtl/>
        </w:rPr>
        <w:t>ו</w:t>
      </w:r>
      <w:r w:rsidR="00C23177">
        <w:rPr>
          <w:rFonts w:ascii="Arial" w:hAnsi="Arial" w:hint="cs"/>
          <w:noProof w:val="0"/>
          <w:rtl/>
        </w:rPr>
        <w:t>לגידול בצורכי הילדים</w:t>
      </w:r>
      <w:r>
        <w:rPr>
          <w:rFonts w:ascii="Arial" w:hAnsi="Arial" w:hint="cs"/>
          <w:noProof w:val="0"/>
          <w:rtl/>
        </w:rPr>
        <w:t>,</w:t>
      </w:r>
      <w:r w:rsidR="00770844">
        <w:rPr>
          <w:rFonts w:ascii="Arial" w:hAnsi="Arial" w:hint="cs"/>
          <w:noProof w:val="0"/>
          <w:rtl/>
        </w:rPr>
        <w:t xml:space="preserve"> אני מעמיד את מזונותיהם הזמניים </w:t>
      </w:r>
      <w:r>
        <w:rPr>
          <w:rFonts w:ascii="Arial" w:hAnsi="Arial" w:hint="cs"/>
          <w:noProof w:val="0"/>
          <w:rtl/>
        </w:rPr>
        <w:t xml:space="preserve">מאביהם המשיב </w:t>
      </w:r>
      <w:r w:rsidR="00770844">
        <w:rPr>
          <w:rFonts w:ascii="Arial" w:hAnsi="Arial" w:hint="cs"/>
          <w:noProof w:val="0"/>
          <w:rtl/>
        </w:rPr>
        <w:t xml:space="preserve">על סך </w:t>
      </w:r>
      <w:r w:rsidR="00EB2036">
        <w:rPr>
          <w:rFonts w:ascii="Arial" w:hAnsi="Arial" w:hint="cs"/>
          <w:noProof w:val="0"/>
          <w:rtl/>
        </w:rPr>
        <w:t xml:space="preserve">של </w:t>
      </w:r>
      <w:r w:rsidR="00770844">
        <w:rPr>
          <w:rFonts w:ascii="Arial" w:hAnsi="Arial" w:hint="cs"/>
          <w:noProof w:val="0"/>
          <w:rtl/>
        </w:rPr>
        <w:t>1,600</w:t>
      </w:r>
      <w:r w:rsidR="00EB2036">
        <w:rPr>
          <w:rFonts w:ascii="Arial" w:hAnsi="Arial" w:hint="cs"/>
          <w:noProof w:val="0"/>
          <w:rtl/>
        </w:rPr>
        <w:t xml:space="preserve"> ₪ עבור כל קטין ובסך הכל </w:t>
      </w:r>
      <w:r w:rsidR="00770844">
        <w:rPr>
          <w:rFonts w:ascii="Arial" w:hAnsi="Arial" w:hint="cs"/>
          <w:noProof w:val="0"/>
          <w:rtl/>
        </w:rPr>
        <w:t>על 3,200 ₪ עבור שניהם יחד</w:t>
      </w:r>
      <w:r w:rsidR="00EB2036">
        <w:rPr>
          <w:rFonts w:ascii="Arial" w:hAnsi="Arial" w:hint="cs"/>
          <w:noProof w:val="0"/>
          <w:rtl/>
        </w:rPr>
        <w:t xml:space="preserve"> לחודש</w:t>
      </w:r>
      <w:r w:rsidR="005063B4">
        <w:rPr>
          <w:rFonts w:ascii="Arial" w:hAnsi="Arial" w:hint="cs"/>
          <w:noProof w:val="0"/>
          <w:rtl/>
        </w:rPr>
        <w:t>,</w:t>
      </w:r>
      <w:r w:rsidR="00CE6A64">
        <w:rPr>
          <w:rFonts w:ascii="Arial" w:hAnsi="Arial" w:hint="cs"/>
          <w:noProof w:val="0"/>
          <w:rtl/>
        </w:rPr>
        <w:t xml:space="preserve"> היינו בתוספת של 1,200 ₪ לחודש,</w:t>
      </w:r>
      <w:r w:rsidR="005063B4">
        <w:rPr>
          <w:rFonts w:ascii="Arial" w:hAnsi="Arial" w:hint="cs"/>
          <w:noProof w:val="0"/>
          <w:rtl/>
        </w:rPr>
        <w:t xml:space="preserve"> </w:t>
      </w:r>
      <w:r w:rsidR="00CE6A64">
        <w:rPr>
          <w:rFonts w:ascii="Arial" w:hAnsi="Arial" w:hint="cs"/>
          <w:noProof w:val="0"/>
          <w:rtl/>
        </w:rPr>
        <w:t>ו</w:t>
      </w:r>
      <w:r w:rsidR="005063B4">
        <w:rPr>
          <w:rFonts w:ascii="Arial" w:hAnsi="Arial" w:hint="cs"/>
          <w:noProof w:val="0"/>
          <w:rtl/>
        </w:rPr>
        <w:t>זאת לתקופה מיום 4.6.24.</w:t>
      </w:r>
    </w:p>
    <w:p w:rsidR="00770844" w:rsidRDefault="00770844" w:rsidP="00770844">
      <w:pPr>
        <w:spacing w:line="360" w:lineRule="auto"/>
        <w:jc w:val="both"/>
        <w:rPr>
          <w:rFonts w:ascii="Arial" w:hAnsi="Arial"/>
          <w:noProof w:val="0"/>
          <w:rtl/>
        </w:rPr>
      </w:pPr>
    </w:p>
    <w:p w:rsidR="00770844" w:rsidRDefault="00647D0F" w:rsidP="002C2B86">
      <w:pPr>
        <w:spacing w:line="360" w:lineRule="auto"/>
        <w:jc w:val="both"/>
        <w:rPr>
          <w:rFonts w:ascii="Arial" w:hAnsi="Arial"/>
          <w:noProof w:val="0"/>
          <w:rtl/>
        </w:rPr>
      </w:pPr>
      <w:r>
        <w:rPr>
          <w:rFonts w:ascii="Arial" w:hAnsi="Arial" w:hint="cs"/>
          <w:noProof w:val="0"/>
          <w:rtl/>
        </w:rPr>
        <w:t>16</w:t>
      </w:r>
      <w:r w:rsidR="00770844">
        <w:rPr>
          <w:rFonts w:ascii="Arial" w:hAnsi="Arial" w:hint="cs"/>
          <w:noProof w:val="0"/>
          <w:rtl/>
        </w:rPr>
        <w:t>.</w:t>
      </w:r>
      <w:r w:rsidR="00770844">
        <w:rPr>
          <w:rFonts w:ascii="Arial" w:hAnsi="Arial"/>
          <w:noProof w:val="0"/>
          <w:rtl/>
        </w:rPr>
        <w:tab/>
      </w:r>
      <w:r w:rsidR="00770844">
        <w:rPr>
          <w:rFonts w:ascii="Arial" w:hAnsi="Arial" w:hint="cs"/>
          <w:noProof w:val="0"/>
          <w:rtl/>
        </w:rPr>
        <w:t>אשר להוצאות חינוך והוצאות בריאות חריגות, אלה ישולמ</w:t>
      </w:r>
      <w:r w:rsidR="00CE6A64">
        <w:rPr>
          <w:rFonts w:ascii="Arial" w:hAnsi="Arial" w:hint="cs"/>
          <w:noProof w:val="0"/>
          <w:rtl/>
        </w:rPr>
        <w:t>ו בהתאם לפסק הדין מיום 5.5.2021.</w:t>
      </w:r>
    </w:p>
    <w:p w:rsidR="00770844" w:rsidRDefault="00770844" w:rsidP="002C2B86">
      <w:pPr>
        <w:spacing w:line="360" w:lineRule="auto"/>
        <w:jc w:val="both"/>
        <w:rPr>
          <w:rFonts w:ascii="Arial" w:hAnsi="Arial"/>
          <w:noProof w:val="0"/>
          <w:rtl/>
        </w:rPr>
      </w:pPr>
    </w:p>
    <w:p w:rsidR="00770844" w:rsidRDefault="00647D0F" w:rsidP="002C2B86">
      <w:pPr>
        <w:spacing w:line="360" w:lineRule="auto"/>
        <w:jc w:val="both"/>
        <w:rPr>
          <w:rFonts w:ascii="Arial" w:hAnsi="Arial"/>
          <w:noProof w:val="0"/>
          <w:rtl/>
        </w:rPr>
      </w:pPr>
      <w:r>
        <w:rPr>
          <w:rFonts w:ascii="Arial" w:hAnsi="Arial" w:hint="cs"/>
          <w:noProof w:val="0"/>
          <w:rtl/>
        </w:rPr>
        <w:t>17</w:t>
      </w:r>
      <w:r w:rsidR="00770844">
        <w:rPr>
          <w:rFonts w:ascii="Arial" w:hAnsi="Arial" w:hint="cs"/>
          <w:noProof w:val="0"/>
          <w:rtl/>
        </w:rPr>
        <w:t>.</w:t>
      </w:r>
      <w:r w:rsidR="00770844">
        <w:rPr>
          <w:rFonts w:ascii="Arial" w:hAnsi="Arial"/>
          <w:noProof w:val="0"/>
          <w:rtl/>
        </w:rPr>
        <w:tab/>
      </w:r>
      <w:r w:rsidR="00770844">
        <w:rPr>
          <w:rFonts w:ascii="Arial" w:hAnsi="Arial" w:hint="cs"/>
          <w:noProof w:val="0"/>
          <w:rtl/>
        </w:rPr>
        <w:t>המשיב ישא בהוצאות המבקשת בסך של 3,000 ₪.</w:t>
      </w:r>
    </w:p>
    <w:p w:rsidR="00770844" w:rsidRDefault="00770844" w:rsidP="002C2B86">
      <w:pPr>
        <w:spacing w:line="360" w:lineRule="auto"/>
        <w:jc w:val="both"/>
        <w:rPr>
          <w:rFonts w:ascii="Arial" w:hAnsi="Arial"/>
          <w:noProof w:val="0"/>
          <w:rtl/>
        </w:rPr>
      </w:pPr>
      <w:r>
        <w:rPr>
          <w:rFonts w:ascii="Arial" w:hAnsi="Arial" w:hint="cs"/>
          <w:noProof w:val="0"/>
          <w:rtl/>
        </w:rPr>
        <w:t>עירבון שהפקידה המבקשת יושב לידי באת כוחה עבור המבקשת.</w:t>
      </w:r>
    </w:p>
    <w:p w:rsidR="00770844" w:rsidRDefault="00770844" w:rsidP="002C2B86">
      <w:pPr>
        <w:spacing w:line="360" w:lineRule="auto"/>
        <w:jc w:val="both"/>
        <w:rPr>
          <w:rFonts w:ascii="Arial" w:hAnsi="Arial"/>
          <w:noProof w:val="0"/>
          <w:rtl/>
        </w:rPr>
      </w:pPr>
    </w:p>
    <w:p w:rsidR="002C2B86" w:rsidRDefault="00770844" w:rsidP="00770844">
      <w:pPr>
        <w:spacing w:line="360" w:lineRule="auto"/>
        <w:jc w:val="both"/>
        <w:rPr>
          <w:rFonts w:ascii="Arial" w:hAnsi="Arial"/>
          <w:noProof w:val="0"/>
          <w:rtl/>
        </w:rPr>
      </w:pPr>
      <w:r>
        <w:rPr>
          <w:rFonts w:ascii="Arial" w:hAnsi="Arial" w:hint="cs"/>
          <w:noProof w:val="0"/>
          <w:rtl/>
        </w:rPr>
        <w:t xml:space="preserve">מותר לפרסום לאחר מחיקת שמות הצדדים והשמטת פרטים מזהים. </w:t>
      </w:r>
      <w:r w:rsidR="005063B4">
        <w:rPr>
          <w:rFonts w:ascii="Arial" w:hAnsi="Arial" w:hint="cs"/>
          <w:noProof w:val="0"/>
          <w:rtl/>
        </w:rPr>
        <w:tab/>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דצמבר 2024</w:t>
          </w:r>
        </w:sdtContent>
      </w:sdt>
      <w:r w:rsidR="00005C8B">
        <w:rPr>
          <w:rFonts w:ascii="Arial" w:hAnsi="Arial"/>
          <w:noProof w:val="0"/>
          <w:rtl/>
        </w:rPr>
        <w:t>, בהעדר הצדדים.</w:t>
      </w:r>
    </w:p>
    <w:p w:rsidR="00C43648" w:rsidRDefault="004F367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04422530"/>
        </w:sdtPr>
        <w:sdtEndPr/>
        <w:sdtContent>
          <w:r w:rsidR="006A4E42">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8"/>
      <w:footerReference w:type="default" r:id="rId9"/>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67E" w:rsidRDefault="004F367E">
      <w:r>
        <w:separator/>
      </w:r>
    </w:p>
  </w:endnote>
  <w:endnote w:type="continuationSeparator" w:id="0">
    <w:p w:rsidR="004F367E" w:rsidRDefault="004F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4F367E">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4F367E">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67E" w:rsidRDefault="004F367E">
      <w:r>
        <w:separator/>
      </w:r>
    </w:p>
  </w:footnote>
  <w:footnote w:type="continuationSeparator" w:id="0">
    <w:p w:rsidR="004F367E" w:rsidRDefault="004F3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5063B4">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5063B4">
      <w:trPr>
        <w:trHeight w:val="337"/>
        <w:jc w:val="center"/>
      </w:trPr>
      <w:tc>
        <w:tcPr>
          <w:tcW w:w="8307" w:type="dxa"/>
        </w:tcPr>
        <w:p w:rsidR="007D45E3" w:rsidRPr="007B7765" w:rsidRDefault="004F367E" w:rsidP="00851F1C">
          <w:pPr>
            <w:rPr>
              <w:b/>
              <w:bCs/>
              <w:noProof w:val="0"/>
              <w:sz w:val="2"/>
              <w:szCs w:val="2"/>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851F1C">
                <w:rPr>
                  <w:rFonts w:hint="cs"/>
                  <w:b/>
                  <w:bCs/>
                  <w:noProof w:val="0"/>
                  <w:sz w:val="26"/>
                  <w:szCs w:val="26"/>
                  <w:rtl/>
                </w:rPr>
                <w:t xml:space="preserve"> </w:t>
              </w:r>
              <w:r w:rsidR="00C926D7">
                <w:rPr>
                  <w:rFonts w:hint="cs"/>
                  <w:b/>
                  <w:bCs/>
                  <w:noProof w:val="0"/>
                  <w:sz w:val="26"/>
                  <w:szCs w:val="26"/>
                  <w:rtl/>
                </w:rPr>
                <w:t xml:space="preserve">9721-07-24 </w:t>
              </w:r>
              <w:r w:rsidR="00851F1C">
                <w:rPr>
                  <w:rFonts w:hint="cs"/>
                  <w:b/>
                  <w:bCs/>
                  <w:noProof w:val="0"/>
                  <w:sz w:val="26"/>
                  <w:szCs w:val="26"/>
                  <w:rtl/>
                </w:rPr>
                <w:t>א' נ. ז'</w:t>
              </w:r>
            </w:sdtContent>
          </w:sdt>
        </w:p>
        <w:p w:rsidR="008D10B2" w:rsidRPr="00E1068A" w:rsidRDefault="007D45E3" w:rsidP="005063B4">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13E9"/>
    <w:rsid w:val="000529D2"/>
    <w:rsid w:val="000564AB"/>
    <w:rsid w:val="00064FBD"/>
    <w:rsid w:val="00082AB2"/>
    <w:rsid w:val="000906FE"/>
    <w:rsid w:val="00096AF7"/>
    <w:rsid w:val="000A214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A413E"/>
    <w:rsid w:val="001C4003"/>
    <w:rsid w:val="001D4DBF"/>
    <w:rsid w:val="001E75CA"/>
    <w:rsid w:val="00202BC3"/>
    <w:rsid w:val="002039B9"/>
    <w:rsid w:val="00210FF7"/>
    <w:rsid w:val="002265FF"/>
    <w:rsid w:val="00271B56"/>
    <w:rsid w:val="00272E32"/>
    <w:rsid w:val="002848B3"/>
    <w:rsid w:val="002C2B86"/>
    <w:rsid w:val="002C344E"/>
    <w:rsid w:val="002C42F5"/>
    <w:rsid w:val="002E55A4"/>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56A2B"/>
    <w:rsid w:val="00462C62"/>
    <w:rsid w:val="00465D36"/>
    <w:rsid w:val="0049770D"/>
    <w:rsid w:val="004C17EE"/>
    <w:rsid w:val="004C4BDF"/>
    <w:rsid w:val="004D1187"/>
    <w:rsid w:val="004D3AA0"/>
    <w:rsid w:val="004E1987"/>
    <w:rsid w:val="004E2E15"/>
    <w:rsid w:val="004E6E3C"/>
    <w:rsid w:val="004F367E"/>
    <w:rsid w:val="005063B4"/>
    <w:rsid w:val="00520898"/>
    <w:rsid w:val="00523621"/>
    <w:rsid w:val="00524986"/>
    <w:rsid w:val="005268F6"/>
    <w:rsid w:val="00534284"/>
    <w:rsid w:val="0054140F"/>
    <w:rsid w:val="00547DB7"/>
    <w:rsid w:val="00553884"/>
    <w:rsid w:val="00557717"/>
    <w:rsid w:val="00576A86"/>
    <w:rsid w:val="00581429"/>
    <w:rsid w:val="005A158C"/>
    <w:rsid w:val="005B5F36"/>
    <w:rsid w:val="005F4F09"/>
    <w:rsid w:val="00603F73"/>
    <w:rsid w:val="0061431B"/>
    <w:rsid w:val="00614E41"/>
    <w:rsid w:val="00622BAA"/>
    <w:rsid w:val="006306CF"/>
    <w:rsid w:val="00644E9A"/>
    <w:rsid w:val="00647D0F"/>
    <w:rsid w:val="00650B79"/>
    <w:rsid w:val="00671BD5"/>
    <w:rsid w:val="006805C1"/>
    <w:rsid w:val="00686C21"/>
    <w:rsid w:val="006931C1"/>
    <w:rsid w:val="00694556"/>
    <w:rsid w:val="006A4E42"/>
    <w:rsid w:val="006C30C5"/>
    <w:rsid w:val="006D3B31"/>
    <w:rsid w:val="006E0D96"/>
    <w:rsid w:val="006E1A53"/>
    <w:rsid w:val="006E41EF"/>
    <w:rsid w:val="006F56E6"/>
    <w:rsid w:val="00704EDA"/>
    <w:rsid w:val="00721122"/>
    <w:rsid w:val="00734689"/>
    <w:rsid w:val="007351F7"/>
    <w:rsid w:val="00753019"/>
    <w:rsid w:val="00754801"/>
    <w:rsid w:val="00761441"/>
    <w:rsid w:val="00770844"/>
    <w:rsid w:val="00795365"/>
    <w:rsid w:val="007A351D"/>
    <w:rsid w:val="007B7765"/>
    <w:rsid w:val="007C2453"/>
    <w:rsid w:val="007C5BDD"/>
    <w:rsid w:val="007D45E3"/>
    <w:rsid w:val="007E6115"/>
    <w:rsid w:val="007F4609"/>
    <w:rsid w:val="00805EFF"/>
    <w:rsid w:val="00814468"/>
    <w:rsid w:val="008176A1"/>
    <w:rsid w:val="00820005"/>
    <w:rsid w:val="00844318"/>
    <w:rsid w:val="00851F1C"/>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47B7A"/>
    <w:rsid w:val="00B5356E"/>
    <w:rsid w:val="00B61F0E"/>
    <w:rsid w:val="00B76EF1"/>
    <w:rsid w:val="00B809AD"/>
    <w:rsid w:val="00B80CBD"/>
    <w:rsid w:val="00B859C5"/>
    <w:rsid w:val="00B86096"/>
    <w:rsid w:val="00B964D9"/>
    <w:rsid w:val="00BA0A7C"/>
    <w:rsid w:val="00BA517C"/>
    <w:rsid w:val="00BB3D05"/>
    <w:rsid w:val="00BB53D3"/>
    <w:rsid w:val="00BB73BE"/>
    <w:rsid w:val="00BC1549"/>
    <w:rsid w:val="00BC2D89"/>
    <w:rsid w:val="00BD6531"/>
    <w:rsid w:val="00BE05B2"/>
    <w:rsid w:val="00BF1908"/>
    <w:rsid w:val="00C22D93"/>
    <w:rsid w:val="00C23177"/>
    <w:rsid w:val="00C23458"/>
    <w:rsid w:val="00C23AC9"/>
    <w:rsid w:val="00C31120"/>
    <w:rsid w:val="00C34482"/>
    <w:rsid w:val="00C43648"/>
    <w:rsid w:val="00C50A9F"/>
    <w:rsid w:val="00C642FA"/>
    <w:rsid w:val="00C770E3"/>
    <w:rsid w:val="00C926D7"/>
    <w:rsid w:val="00CB06F6"/>
    <w:rsid w:val="00CC7622"/>
    <w:rsid w:val="00CD608F"/>
    <w:rsid w:val="00CE3964"/>
    <w:rsid w:val="00CE6A64"/>
    <w:rsid w:val="00CF6729"/>
    <w:rsid w:val="00CF6BB7"/>
    <w:rsid w:val="00D04AA4"/>
    <w:rsid w:val="00D2510C"/>
    <w:rsid w:val="00D27982"/>
    <w:rsid w:val="00D33B86"/>
    <w:rsid w:val="00D34B1C"/>
    <w:rsid w:val="00D43A3C"/>
    <w:rsid w:val="00D44968"/>
    <w:rsid w:val="00D53924"/>
    <w:rsid w:val="00D55D0C"/>
    <w:rsid w:val="00D641A3"/>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2036"/>
    <w:rsid w:val="00EB6C79"/>
    <w:rsid w:val="00EC37E9"/>
    <w:rsid w:val="00ED3B0A"/>
    <w:rsid w:val="00F038D8"/>
    <w:rsid w:val="00F06995"/>
    <w:rsid w:val="00F12D66"/>
    <w:rsid w:val="00F13623"/>
    <w:rsid w:val="00F33882"/>
    <w:rsid w:val="00F425AA"/>
    <w:rsid w:val="00F44D1D"/>
    <w:rsid w:val="00F744A7"/>
    <w:rsid w:val="00F84B6D"/>
    <w:rsid w:val="00F957E8"/>
    <w:rsid w:val="00FA311A"/>
    <w:rsid w:val="00FA5FDA"/>
    <w:rsid w:val="00FB6AB3"/>
    <w:rsid w:val="00FD1419"/>
    <w:rsid w:val="00FD6A9B"/>
    <w:rsid w:val="00FD79E4"/>
    <w:rsid w:val="00FE2894"/>
    <w:rsid w:val="00FF456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8851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94DF5"/>
    <w:rsid w:val="00AA7CE3"/>
    <w:rsid w:val="00AC6306"/>
    <w:rsid w:val="00AD53D7"/>
    <w:rsid w:val="00B162A5"/>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1416</Words>
  <Characters>7084</Characters>
  <Application>Microsoft Office Word</Application>
  <DocSecurity>0</DocSecurity>
  <Lines>59</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2025-01-09T08:55:00Z</dcterms:created>
  <dcterms:modified xsi:type="dcterms:W3CDTF">2025-01-09T08:55:00Z</dcterms:modified>
</cp:coreProperties>
</file>